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bookmarkStart w:id="51" w:name="_GoBack"/>
      <w:bookmarkEnd w:id="51"/>
      <w:r>
        <w:rPr>
          <w:rFonts w:hint="eastAsia" w:ascii="方正小标宋简体" w:hAnsi="方正小标宋简体" w:eastAsia="方正小标宋简体" w:cs="方正小标宋简体"/>
          <w:sz w:val="44"/>
          <w:szCs w:val="44"/>
        </w:rPr>
        <w:t>2024年加力支持消费品以旧换新-农机报废更新政策绩效评价报告</w:t>
      </w:r>
    </w:p>
    <w:p>
      <w:pPr>
        <w:spacing w:line="560" w:lineRule="exact"/>
        <w:jc w:val="right"/>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t>利安达综字[2025]第C0008号</w:t>
      </w:r>
    </w:p>
    <w:p>
      <w:pPr>
        <w:spacing w:line="560" w:lineRule="exact"/>
        <w:rPr>
          <w:rFonts w:hint="eastAsia" w:ascii="楷体_GB2312" w:hAnsi="楷体_GB2312" w:eastAsia="楷体_GB2312" w:cs="楷体_GB2312"/>
          <w:sz w:val="32"/>
          <w:szCs w:val="40"/>
        </w:rPr>
      </w:pPr>
    </w:p>
    <w:p>
      <w:pPr>
        <w:spacing w:line="560" w:lineRule="exact"/>
        <w:ind w:firstLine="640" w:firstLineChars="200"/>
        <w:outlineLvl w:val="0"/>
        <w:rPr>
          <w:rFonts w:hint="eastAsia" w:ascii="黑体" w:hAnsi="黑体" w:eastAsia="黑体" w:cs="黑体"/>
          <w:sz w:val="32"/>
          <w:szCs w:val="40"/>
        </w:rPr>
      </w:pPr>
      <w:bookmarkStart w:id="0" w:name="_Toc204175499"/>
      <w:bookmarkStart w:id="1" w:name="_Toc204175351"/>
      <w:r>
        <w:rPr>
          <w:rFonts w:hint="eastAsia" w:ascii="黑体" w:hAnsi="黑体" w:eastAsia="黑体" w:cs="黑体"/>
          <w:sz w:val="32"/>
          <w:szCs w:val="40"/>
        </w:rPr>
        <w:t>一、政策基本情况</w:t>
      </w:r>
      <w:bookmarkEnd w:id="0"/>
      <w:bookmarkEnd w:id="1"/>
    </w:p>
    <w:p>
      <w:pPr>
        <w:spacing w:line="560" w:lineRule="exact"/>
        <w:ind w:firstLine="640" w:firstLineChars="200"/>
        <w:outlineLvl w:val="1"/>
        <w:rPr>
          <w:rFonts w:hint="eastAsia" w:ascii="楷体_GB2312" w:hAnsi="楷体_GB2312" w:eastAsia="楷体_GB2312" w:cs="楷体_GB2312"/>
          <w:sz w:val="32"/>
          <w:szCs w:val="40"/>
        </w:rPr>
      </w:pPr>
      <w:bookmarkStart w:id="2" w:name="_Toc204175352"/>
      <w:bookmarkStart w:id="3" w:name="_Toc204175500"/>
      <w:r>
        <w:rPr>
          <w:rFonts w:hint="eastAsia" w:ascii="楷体_GB2312" w:hAnsi="楷体_GB2312" w:eastAsia="楷体_GB2312" w:cs="楷体_GB2312"/>
          <w:sz w:val="32"/>
          <w:szCs w:val="40"/>
        </w:rPr>
        <w:t>（一）政策概况</w:t>
      </w:r>
      <w:bookmarkEnd w:id="2"/>
      <w:bookmarkEnd w:id="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1.政策背景</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随着农业机械化的快速发展，农机装备总量不断增加，但同时也存在大量老旧农机超期服役的情况。这些老旧农机耗能高、污染重、安全性能低，不仅容易引发农机事故，威胁农民生命财产安全，还会造成能源浪费和环境污染，不符合现代农业绿色发展的要求。</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为加快老旧农业机械报废更新进度，推进青岛市农业机械化和农机装备产业转型升级，提升农机高端化、智能化、绿色化水平，根据《农业农村部办公厅、财政部办公厅关于加大工作力度持续实施好农业机械报废更新补贴政策的通知》（农办机〔2024〕4号）、《国家发展改革委、财政部关于加力支持大规模设备更新和消费品以旧换新的若干措施》（发改环资〔2024〕1104号）和《农业农村部办公厅、国家发展改革委办公厅、财政部办公厅关于加大工作力度持续实施好农业机械报废更新补贴政策的补充通知》（农办机〔2024〕5号），青岛市农业农村局持续实施好2024年农业机械报废更新补贴政策，制定《青岛市农业农村局 青岛市财政局关于印发&lt;青岛市农业机械报废更新补贴实施方案&gt;的通知》(青农计财字〔2024〕63号)通过政策引导，优化农机装备结构，提高农业生产效率，同时减少资源浪费和环境污染，促进农业绿色化发展。</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2.政策主要内容</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加力支持消费品以旧换新-农机报废更新政策由报废部分补贴与更新部分补贴两部分构成，资金安排包括超长期特别国债资金和农机购置与应用补贴资金两部分，报废部分补贴实行定额补贴。更新部分补贴标准按农机购置与应用补贴政策相关规定执行。2024年超长期特别国债资金全部用于农业机械的报废部分补贴。政策的主要内容包括补贴的农机种类、农机报废条件以及农机报废补贴标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1）补贴农机种类：包括拖拉机、播种机、联合收割机（含粮棉油糖等作物联合收割所用机械）、农用北斗辅助驾驶系统、机动喷雾（粉）机、机动脱粒机、饲料（草）粉碎机、铡草机、旋耕机、秸秆粉碎还田机、青（黄）饲料收获机、犁、深松机、谷物（粮食）烘干机。 </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农机报废条件：报废农机的发动机等主要部件应齐全，来源清楚合法，纳入牌证管理的农机需要提供农机牌证管理机构核发的牌证；无牌证或未纳入牌证管理的，应当具有铭牌或出厂编号、车架号等机具身份信息。报废农机需达到政策中规定的年限，未达到报废年限的农机，应符合安全隐患大、故障发生率高、损毁严重、维修成本高、技术落后五类条件之一。改装拼装、严重残缺、来历不明，铭牌或出厂编号、车架号、发动机号等身份信息均没有的农机，不予受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（3）农机报废补贴标准：因2024年用超长期特别国债资金报废的农机类型主要为拖拉机和联合收割机（含粮棉油糖等作物联合收割所用机械），仅列示上述两类农机的补贴标准。详见下表。</w:t>
      </w:r>
    </w:p>
    <w:p>
      <w:pPr>
        <w:pStyle w:val="2"/>
        <w:ind w:firstLine="560"/>
        <w:jc w:val="center"/>
        <w:outlineLvl w:val="9"/>
        <w:rPr>
          <w:rFonts w:hint="eastAsia" w:ascii="黑体" w:hAnsi="黑体" w:eastAsia="黑体" w:cs="仿宋_GB2312"/>
          <w:sz w:val="28"/>
          <w:szCs w:val="28"/>
        </w:rPr>
      </w:pPr>
      <w:r>
        <w:rPr>
          <w:rFonts w:hint="eastAsia" w:ascii="黑体" w:hAnsi="黑体" w:eastAsia="黑体" w:cs="仿宋_GB2312"/>
          <w:sz w:val="28"/>
          <w:szCs w:val="28"/>
        </w:rPr>
        <w:t>青岛市农业机械报废补贴额（拖拉机和联合收割机）</w:t>
      </w:r>
    </w:p>
    <w:tbl>
      <w:tblPr>
        <w:tblStyle w:val="16"/>
        <w:tblW w:w="8533" w:type="dxa"/>
        <w:tblInd w:w="0" w:type="dxa"/>
        <w:tblLayout w:type="fixed"/>
        <w:tblCellMar>
          <w:top w:w="15" w:type="dxa"/>
          <w:left w:w="15" w:type="dxa"/>
          <w:bottom w:w="15" w:type="dxa"/>
          <w:right w:w="15" w:type="dxa"/>
        </w:tblCellMar>
      </w:tblPr>
      <w:tblGrid>
        <w:gridCol w:w="1729"/>
        <w:gridCol w:w="3402"/>
        <w:gridCol w:w="1134"/>
        <w:gridCol w:w="1134"/>
        <w:gridCol w:w="1134"/>
      </w:tblGrid>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shd w:val="clear" w:color="auto" w:fill="D0CECE" w:themeFill="background2" w:themeFillShade="E6"/>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种类</w:t>
            </w:r>
          </w:p>
        </w:tc>
        <w:tc>
          <w:tcPr>
            <w:tcW w:w="3402" w:type="dxa"/>
            <w:vMerge w:val="restart"/>
            <w:tcBorders>
              <w:top w:val="single" w:color="auto" w:sz="4" w:space="0"/>
              <w:left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分档</w:t>
            </w:r>
          </w:p>
        </w:tc>
        <w:tc>
          <w:tcPr>
            <w:tcW w:w="2268" w:type="dxa"/>
            <w:gridSpan w:val="2"/>
            <w:tcBorders>
              <w:top w:val="single" w:color="auto" w:sz="4" w:space="0"/>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报废补贴额（元）</w:t>
            </w:r>
          </w:p>
        </w:tc>
        <w:tc>
          <w:tcPr>
            <w:tcW w:w="1134" w:type="dxa"/>
            <w:vMerge w:val="restart"/>
            <w:tcBorders>
              <w:top w:val="single" w:color="auto" w:sz="4" w:space="0"/>
              <w:left w:val="single" w:color="auto" w:sz="4" w:space="0"/>
              <w:right w:val="single" w:color="auto" w:sz="4" w:space="0"/>
            </w:tcBorders>
            <w:shd w:val="clear" w:color="auto" w:fill="D0CECE" w:themeFill="background2" w:themeFillShade="E6"/>
            <w:vAlign w:val="center"/>
          </w:tcPr>
          <w:p>
            <w:pPr>
              <w:widowControl/>
              <w:jc w:val="center"/>
              <w:rPr>
                <w:rFonts w:hint="eastAsia" w:ascii="黑体" w:hAnsi="宋体" w:eastAsia="黑体" w:cs="黑体"/>
                <w:kern w:val="0"/>
                <w:szCs w:val="21"/>
                <w:lang w:bidi="ar"/>
              </w:rPr>
            </w:pPr>
            <w:r>
              <w:rPr>
                <w:rFonts w:hint="eastAsia" w:ascii="黑体" w:hAnsi="宋体" w:eastAsia="黑体" w:cs="黑体"/>
                <w:kern w:val="0"/>
                <w:szCs w:val="21"/>
                <w:lang w:bidi="ar"/>
              </w:rPr>
              <w:t>备注</w:t>
            </w: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shd w:val="clear" w:color="auto" w:fill="D0CECE" w:themeFill="background2" w:themeFillShade="E6"/>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vMerge w:val="continue"/>
            <w:tcBorders>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p>
        </w:tc>
        <w:tc>
          <w:tcPr>
            <w:tcW w:w="1134" w:type="dxa"/>
            <w:tcBorders>
              <w:top w:val="single" w:color="auto" w:sz="4" w:space="0"/>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正常标准</w:t>
            </w:r>
          </w:p>
        </w:tc>
        <w:tc>
          <w:tcPr>
            <w:tcW w:w="1134" w:type="dxa"/>
            <w:tcBorders>
              <w:top w:val="single" w:color="auto" w:sz="4" w:space="0"/>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黑体" w:eastAsia="黑体" w:cs="Times New Roman"/>
                <w:kern w:val="0"/>
                <w:szCs w:val="21"/>
              </w:rPr>
            </w:pPr>
            <w:r>
              <w:rPr>
                <w:rFonts w:hint="eastAsia" w:ascii="黑体" w:hAnsi="宋体" w:eastAsia="黑体" w:cs="黑体"/>
                <w:kern w:val="0"/>
                <w:szCs w:val="21"/>
                <w:lang w:bidi="ar"/>
              </w:rPr>
              <w:t>提高标准</w:t>
            </w:r>
          </w:p>
        </w:tc>
        <w:tc>
          <w:tcPr>
            <w:tcW w:w="1134" w:type="dxa"/>
            <w:vMerge w:val="continue"/>
            <w:tcBorders>
              <w:left w:val="single" w:color="auto" w:sz="4" w:space="0"/>
              <w:bottom w:val="single" w:color="auto" w:sz="4" w:space="0"/>
              <w:right w:val="single" w:color="auto" w:sz="4" w:space="0"/>
            </w:tcBorders>
            <w:shd w:val="clear" w:color="auto" w:fill="D0CECE" w:themeFill="background2" w:themeFillShade="E6"/>
            <w:vAlign w:val="center"/>
          </w:tcPr>
          <w:p>
            <w:pPr>
              <w:widowControl/>
              <w:jc w:val="center"/>
              <w:rPr>
                <w:rFonts w:hint="eastAsia" w:ascii="黑体" w:hAnsi="宋体" w:eastAsia="黑体" w:cs="黑体"/>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拖拉机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bookmarkStart w:id="4" w:name="OLE_LINK13"/>
            <w:bookmarkStart w:id="5" w:name="OLE_LINK14"/>
            <w:r>
              <w:rPr>
                <w:rFonts w:hint="eastAsia" w:cs="宋体" w:asciiTheme="minorEastAsia" w:hAnsiTheme="minorEastAsia"/>
                <w:kern w:val="0"/>
                <w:szCs w:val="21"/>
                <w:lang w:bidi="ar"/>
              </w:rPr>
              <w:t>20马力以下</w:t>
            </w:r>
            <w:bookmarkEnd w:id="4"/>
            <w:bookmarkEnd w:id="5"/>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hint="eastAsia" w:cs="宋体" w:asciiTheme="minorEastAsia" w:hAnsiTheme="minorEastAsia"/>
                <w:kern w:val="0"/>
                <w:szCs w:val="21"/>
                <w:lang w:bidi="ar"/>
              </w:rPr>
              <w:t>1500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20（含）—35马力（含）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2800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35—50马力（含）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3850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50—80马力（含）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7860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80—100马力（含）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10840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100马力—160马力（含）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13140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160马力—200马力（含）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18000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200马力以上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自走式全喂入稻麦联合收割机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cs="宋体" w:asciiTheme="minorEastAsia" w:hAnsiTheme="minorEastAsia"/>
                <w:kern w:val="0"/>
                <w:szCs w:val="21"/>
                <w:lang w:bidi="ar"/>
              </w:rPr>
              <w:t>喂入量0.5—1kg/s（含）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4500</w:t>
            </w:r>
          </w:p>
        </w:tc>
        <w:tc>
          <w:tcPr>
            <w:tcW w:w="1134" w:type="dxa"/>
            <w:vMerge w:val="restart"/>
            <w:tcBorders>
              <w:top w:val="single" w:color="auto" w:sz="4" w:space="0"/>
              <w:left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ascii="宋体" w:hAnsi="宋体" w:eastAsia="宋体" w:cs="宋体"/>
                <w:kern w:val="0"/>
                <w:szCs w:val="21"/>
                <w:lang w:bidi="ar"/>
              </w:rPr>
              <w:t>联合收割机提高标</w:t>
            </w:r>
            <w:r>
              <w:rPr>
                <w:rFonts w:hint="eastAsia" w:asciiTheme="minorEastAsia" w:hAnsiTheme="minorEastAsia"/>
                <w:szCs w:val="21"/>
              </w:rPr>
              <w:t>准的机具，需报废并新购置相同种类同等数量机具</w:t>
            </w: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cs="宋体" w:asciiTheme="minorEastAsia" w:hAnsiTheme="minorEastAsia"/>
                <w:kern w:val="0"/>
                <w:szCs w:val="21"/>
                <w:lang w:bidi="ar"/>
              </w:rPr>
              <w:t>喂入量1—3kg/s（含）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5500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8250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喂入量3—4kg/s（含）</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7300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10950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喂入量4kg/s以上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11000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16500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自走式半喂入稻麦联合收割机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3行，35马力（含）以上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7200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10800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4行（含）以上，35马力（含）以上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17500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26250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自走式玉米联合收获机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2行</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7200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10800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3行</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12500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18750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4行及以上</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20000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30000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r>
              <w:rPr>
                <w:rFonts w:hint="eastAsia" w:ascii="宋体" w:hAnsi="宋体" w:eastAsia="宋体" w:cs="宋体"/>
                <w:kern w:val="0"/>
                <w:szCs w:val="21"/>
                <w:lang w:bidi="ar"/>
              </w:rPr>
              <w:t>自走式花生联合收获机</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半喂入式</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6000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9000</w:t>
            </w:r>
          </w:p>
        </w:tc>
        <w:tc>
          <w:tcPr>
            <w:tcW w:w="1134" w:type="dxa"/>
            <w:vMerge w:val="continue"/>
            <w:tcBorders>
              <w:left w:val="single" w:color="auto" w:sz="4" w:space="0"/>
              <w:right w:val="single" w:color="auto" w:sz="4" w:space="0"/>
            </w:tcBorders>
            <w:vAlign w:val="center"/>
          </w:tcPr>
          <w:p>
            <w:pPr>
              <w:widowControl/>
              <w:jc w:val="center"/>
              <w:rPr>
                <w:rFonts w:hint="eastAsia" w:asciiTheme="minorEastAsia" w:hAnsiTheme="minorEastAsia"/>
                <w:szCs w:val="21"/>
              </w:rPr>
            </w:pPr>
          </w:p>
        </w:tc>
      </w:tr>
      <w:tr>
        <w:tblPrEx>
          <w:tblLayout w:type="fixed"/>
          <w:tblCellMar>
            <w:top w:w="15" w:type="dxa"/>
            <w:left w:w="15" w:type="dxa"/>
            <w:bottom w:w="15" w:type="dxa"/>
            <w:right w:w="15" w:type="dxa"/>
          </w:tblCellMar>
        </w:tblPrEx>
        <w:trPr>
          <w:trHeight w:val="278" w:hRule="atLeast"/>
        </w:trPr>
        <w:tc>
          <w:tcPr>
            <w:tcW w:w="1729" w:type="dxa"/>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rPr>
                <w:rFonts w:hint="eastAsia" w:ascii="黑体" w:hAnsi="黑体" w:eastAsia="黑体" w:cs="Times New Roman"/>
                <w:kern w:val="0"/>
                <w:szCs w:val="21"/>
              </w:rPr>
            </w:pP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r>
              <w:rPr>
                <w:rFonts w:hint="eastAsia" w:cs="宋体" w:asciiTheme="minorEastAsia" w:hAnsiTheme="minorEastAsia"/>
                <w:kern w:val="0"/>
                <w:szCs w:val="21"/>
                <w:lang w:bidi="ar"/>
              </w:rPr>
              <w:t>捡拾式</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Times New Roman" w:asciiTheme="minorEastAsia" w:hAnsiTheme="minorEastAsia"/>
                <w:kern w:val="0"/>
                <w:szCs w:val="21"/>
              </w:rPr>
            </w:pPr>
            <w:bookmarkStart w:id="6" w:name="OLE_LINK26"/>
            <w:r>
              <w:rPr>
                <w:rFonts w:hint="eastAsia" w:cs="宋体" w:asciiTheme="minorEastAsia" w:hAnsiTheme="minorEastAsia"/>
                <w:kern w:val="0"/>
                <w:szCs w:val="21"/>
                <w:lang w:bidi="ar"/>
              </w:rPr>
              <w:t>11000</w:t>
            </w:r>
            <w:bookmarkEnd w:id="6"/>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lang w:bidi="ar"/>
              </w:rPr>
            </w:pPr>
            <w:r>
              <w:rPr>
                <w:rFonts w:asciiTheme="minorEastAsia" w:hAnsiTheme="minorEastAsia"/>
                <w:szCs w:val="21"/>
              </w:rPr>
              <w:t>16500</w:t>
            </w:r>
          </w:p>
        </w:tc>
        <w:tc>
          <w:tcPr>
            <w:tcW w:w="1134"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szCs w:val="21"/>
              </w:rPr>
            </w:pPr>
          </w:p>
        </w:tc>
      </w:tr>
    </w:tbl>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3.政策实施情况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加力支持消费品以旧换新-农机报废更新政策主要由各区（市）农业农村部门组织实施，经报备的回收企业参与实施，通过《山东青岛农机报废补贴辅助管理系统》（以下简称“农机报废系统”）填报补贴具体内容，市农业农村局通过农机报废系统进行管理，2024年政策具体实施流程如下：</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（1）报废申请</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机主自愿将拟报废的农机交售给回收企业，回收企业对报废机具机主信息进行登记、用油漆在机具上做好编号标记并初步核查旧机具，不足报废年限的旧机需回收企业确认无维修价值。回收企业核对机主和拟报废的农机信息后，通过农机报废系统，向当地农业农村部门报送机主身份证件复印件、人机合影和铭牌等照片、《农业机械报废承诺书》等机主和报废农机资料。</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（2）初步审核</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申请资料经当地农业农村部门初步审核后，向机主出具《报废农业机械回收确认表》。按提高标准补贴额申请联合收割机、播种机等报废补贴的，机主还需提交新购置机具的发票复印件等有关凭证材料。</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（3）注销登记</w:t>
      </w:r>
    </w:p>
    <w:p>
      <w:pPr>
        <w:spacing w:line="560" w:lineRule="exact"/>
        <w:ind w:firstLine="640" w:firstLineChars="200"/>
        <w:rPr>
          <w:rFonts w:hint="eastAsia" w:ascii="仿宋_GB2312" w:hAnsi="仿宋_GB2312" w:eastAsia="仿宋_GB2312" w:cs="仿宋_GB2312"/>
          <w:sz w:val="32"/>
          <w:szCs w:val="40"/>
        </w:rPr>
      </w:pPr>
      <w:bookmarkStart w:id="7" w:name="_Hlk202171784"/>
      <w:r>
        <w:rPr>
          <w:rFonts w:hint="eastAsia" w:ascii="仿宋_GB2312" w:hAnsi="仿宋_GB2312" w:eastAsia="仿宋_GB2312" w:cs="仿宋_GB2312"/>
          <w:sz w:val="32"/>
          <w:szCs w:val="40"/>
        </w:rPr>
        <w:t>机主或委托代理人持《确认表》和相关证照，到当地负责农机牌证管理的机构依法办理牌证注销手续。相关机构核对机主和报废农机信息后，依法办理牌证注销手续，在《确认表》上签注“已办理注销登记”字样。</w:t>
      </w:r>
    </w:p>
    <w:bookmarkEnd w:id="7"/>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（4）农机拆解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区（市）农业农村部门将机具的注销情况确认后，与回收企业确定农机拆解日期对农机进行拆解。拆解当天，市农业农村部门安排相应人员在农机拆解现场进行监督，确保对国家禁止生产销售的发动机等部件进行破坏性处理。拆解全程录像监控，提供拆前、拆中、拆后3张照片，拆后照片要有主要部件拆后的状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（5）兑付补贴</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拆解完成后，回收企业将拆解后照片录入《山东青岛农机报废补贴辅助管理系统》，机主凭借拆解后照片及有效的《确认表》向区（市）农业农村部门申请兑现补贴，经区（市）农业农村部门审核后，报废补贴信息要在农机购置补贴信息公示专栏进行公示，公示时间不少于5个工作日。公示无异议后，区（市）财政部门按规定向符合要求的机主兑付补贴资金。</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4.资金投入及使用情况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2024年度政策预算安排130.00万元，其中：超长期特别国债资金110.00万元，市级配套资金20.00万元。</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2024年度政策实际支出金额为129.999万元，其中：超长期特别国债资金110.00万元，市级配套资金19.999万元。</w:t>
      </w:r>
    </w:p>
    <w:p>
      <w:pPr>
        <w:spacing w:line="560" w:lineRule="exact"/>
        <w:ind w:firstLine="640" w:firstLineChars="200"/>
        <w:outlineLvl w:val="1"/>
        <w:rPr>
          <w:rFonts w:hint="eastAsia" w:ascii="楷体_GB2312" w:hAnsi="楷体_GB2312" w:eastAsia="楷体_GB2312" w:cs="楷体_GB2312"/>
          <w:sz w:val="32"/>
          <w:szCs w:val="40"/>
        </w:rPr>
      </w:pPr>
      <w:bookmarkStart w:id="8" w:name="_Toc204175501"/>
      <w:bookmarkStart w:id="9" w:name="_Toc204175353"/>
      <w:r>
        <w:rPr>
          <w:rFonts w:hint="eastAsia" w:ascii="楷体_GB2312" w:hAnsi="楷体_GB2312" w:eastAsia="楷体_GB2312" w:cs="楷体_GB2312"/>
          <w:sz w:val="32"/>
          <w:szCs w:val="40"/>
        </w:rPr>
        <w:t>（二）政策绩效目标</w:t>
      </w:r>
      <w:bookmarkEnd w:id="8"/>
      <w:bookmarkEnd w:id="9"/>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全力支持开展农业机械报废更新补贴工作，进一步加大耗能高、污染重、安全性能低的老旧农机淘汰力度，带动新机具的推广使用，推动农业现代化发展；加大政策宣传力度，提升农业机械报废补贴政策的知晓度、普及率，引导从事农业生产的农民和农业生产经营组织将手中老旧农机进行报废工作，同时，做好对回收拆解工作的监督，保证对国家禁止生产销售的农机部件进行破坏性处理，降低安全事故发生可能性。</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根据2024年加力支持消费品以旧换新-农机报废更新政策市农业农村局设定的绩效目标情况如下：</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1.数量指标：报废更新补贴机具数≥200台（套）；直接受益农户数≥90户；</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2.质量指标：补贴对象合格率100%；补贴机具合格率100%；</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3.时效指标：2024年项目期内完成；</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4.经济效益指标：农作物耕种收综合机械化率≥91.60%； </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5.服务对象满意度指标：报废农机机主满意率≥90%。</w:t>
      </w:r>
    </w:p>
    <w:p>
      <w:pPr>
        <w:spacing w:line="560" w:lineRule="exact"/>
        <w:ind w:firstLine="640" w:firstLineChars="200"/>
        <w:outlineLvl w:val="0"/>
        <w:rPr>
          <w:rFonts w:hint="eastAsia" w:ascii="黑体" w:hAnsi="黑体" w:eastAsia="黑体" w:cs="黑体"/>
          <w:sz w:val="32"/>
          <w:szCs w:val="40"/>
        </w:rPr>
      </w:pPr>
      <w:bookmarkStart w:id="10" w:name="_Toc204175502"/>
      <w:bookmarkStart w:id="11" w:name="_Toc204175354"/>
      <w:r>
        <w:rPr>
          <w:rFonts w:hint="eastAsia" w:ascii="黑体" w:hAnsi="黑体" w:eastAsia="黑体" w:cs="黑体"/>
          <w:sz w:val="32"/>
          <w:szCs w:val="40"/>
        </w:rPr>
        <w:t>二、绩效评价工作开展情况</w:t>
      </w:r>
      <w:bookmarkEnd w:id="10"/>
      <w:bookmarkEnd w:id="11"/>
    </w:p>
    <w:p>
      <w:pPr>
        <w:spacing w:line="560" w:lineRule="exact"/>
        <w:ind w:firstLine="640" w:firstLineChars="200"/>
        <w:outlineLvl w:val="1"/>
        <w:rPr>
          <w:rFonts w:hint="eastAsia" w:ascii="楷体_GB2312" w:hAnsi="楷体_GB2312" w:eastAsia="楷体_GB2312" w:cs="楷体_GB2312"/>
          <w:sz w:val="32"/>
          <w:szCs w:val="40"/>
        </w:rPr>
      </w:pPr>
      <w:bookmarkStart w:id="12" w:name="_Toc204175355"/>
      <w:bookmarkStart w:id="13" w:name="_Toc204175503"/>
      <w:r>
        <w:rPr>
          <w:rFonts w:hint="eastAsia" w:ascii="楷体_GB2312" w:hAnsi="楷体_GB2312" w:eastAsia="楷体_GB2312" w:cs="楷体_GB2312"/>
          <w:sz w:val="32"/>
          <w:szCs w:val="40"/>
        </w:rPr>
        <w:t>（一）评价目的、评价对象和范围</w:t>
      </w:r>
      <w:bookmarkEnd w:id="12"/>
      <w:bookmarkEnd w:id="1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1.评价目的</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对2024年度青岛市农业农村局（以下简称市农业农村局）农业机械报废更新补贴政策制定、执行情况和资金使用情况进行绩效评价，对政策实施中存在的政策制定、实施、效果等问题进行归纳与分析，以便对财政资金的政策安排使用提出改进建议。通过开展政策性评价，促进单位提升政策管理工作水平，强化支出责任，规范资金管理行为，提高财政资金使用效益，保障部门更好地履行职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2.评价对象</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本次评价对象为2024年加力支持消费品以旧换新-农机报废更新政策。</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3.评价范围</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本次评价范围包括政策制定、政策实施、政策效果三个方面内容。</w:t>
      </w:r>
    </w:p>
    <w:p>
      <w:pPr>
        <w:spacing w:line="560" w:lineRule="exact"/>
        <w:ind w:firstLine="640" w:firstLineChars="200"/>
        <w:outlineLvl w:val="1"/>
        <w:rPr>
          <w:rFonts w:hint="eastAsia" w:ascii="楷体_GB2312" w:hAnsi="楷体_GB2312" w:eastAsia="楷体_GB2312" w:cs="楷体_GB2312"/>
          <w:sz w:val="32"/>
          <w:szCs w:val="40"/>
        </w:rPr>
      </w:pPr>
      <w:bookmarkStart w:id="14" w:name="_Toc204175356"/>
      <w:bookmarkStart w:id="15" w:name="_Toc204175504"/>
      <w:r>
        <w:rPr>
          <w:rFonts w:hint="eastAsia" w:ascii="楷体_GB2312" w:hAnsi="楷体_GB2312" w:eastAsia="楷体_GB2312" w:cs="楷体_GB2312"/>
          <w:sz w:val="32"/>
          <w:szCs w:val="40"/>
        </w:rPr>
        <w:t>（二）评价重点、评价指标体系和评价标准</w:t>
      </w:r>
      <w:bookmarkEnd w:id="14"/>
      <w:bookmarkEnd w:id="15"/>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1.评价重点</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（1）关注政策制定依据是否充分。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（2）政策内容是否明确、全面。</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（3）关注政策支出标准合规性。</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（4）关注政策延续性及完善程度。</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（5）关注服务对象满意程度。</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2.评价指标体系</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从政策制定、政策实施、政策效果3个维度制定绩效评价指标体系，聚焦政策实施效果进行具体评价指标的权重赋分。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（1）政策制定。分值权重10%。指标包括政策设立、政策目标、资金安排3个方面。评价内容主要包括设立依据充分性、设立程序规范性、目标合理性、政策支出标准科学性、资金分配合理性等。</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（2）政策实施。分值权重30%。指标包括资金管理、保障机制2个方面。评价内容主要包括资金到位保障、预算执行率、资金使用规范性、政策制度健全性、政策执行监管等。</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政策效果。分值权重60%。指标包括数量指标、质量指标、时效指标、成本指标、经济效益、社会效益、生态效益、可持续影响和服务对象满意度9个方面。评价内容主要包括报废更新补贴机具数（台）的完成率、直接受益农户数（户）的完成率、补贴机具合格率、信息化监管覆盖率、档案归档的完整率、补贴信息公示合规性、农业机械报废更新政策标准执行情况、补贴资金带动农户购置自走式全喂入稻麦联合收割机消费比、补贴资金带动农户购置自走式玉米联合收获机消费比、农作物耕种收综合机械化率、安全装置配备率、老旧农机高耗能淘汰率、政策延续性、政策完善度、报废农机机主满意度等。</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3.评价标准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本次政策评价总分值为100分，其中政策制定10分，政策实施30分，政策效果60分。参照《青岛市市级项目支出预算绩效管理结果应用办法》（青财绩〔2023〕5号），本次绩效评价等级划分为四档。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评分90（含）-100分为优；</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评分80（含）-90分为良；</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评分60（含）-80分为中；</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评分0-60分为差。</w:t>
      </w:r>
    </w:p>
    <w:p>
      <w:pPr>
        <w:spacing w:line="560" w:lineRule="exact"/>
        <w:ind w:firstLine="640" w:firstLineChars="200"/>
        <w:outlineLvl w:val="1"/>
        <w:rPr>
          <w:rFonts w:hint="eastAsia" w:ascii="楷体_GB2312" w:hAnsi="楷体_GB2312" w:eastAsia="楷体_GB2312" w:cs="楷体_GB2312"/>
          <w:sz w:val="32"/>
          <w:szCs w:val="40"/>
        </w:rPr>
      </w:pPr>
      <w:bookmarkStart w:id="16" w:name="_Toc204175357"/>
      <w:bookmarkStart w:id="17" w:name="_Toc204175505"/>
      <w:r>
        <w:rPr>
          <w:rFonts w:hint="eastAsia" w:ascii="楷体_GB2312" w:hAnsi="楷体_GB2312" w:eastAsia="楷体_GB2312" w:cs="楷体_GB2312"/>
          <w:sz w:val="32"/>
          <w:szCs w:val="40"/>
        </w:rPr>
        <w:t>（三）评价组织实施与评价方法</w:t>
      </w:r>
      <w:bookmarkEnd w:id="16"/>
      <w:bookmarkEnd w:id="17"/>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1.评价组织实施</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本次绩效评价工作由利安达会计师事务所（特殊普通合伙）承担，负责收集资料、制定方案、撰写报告等。同时聘请外部专家参与，对本次绩效评价发表独立意见。具体人员分工详见附件4。</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2.组织实施过程</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（1）前期准备阶段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对接需求。对接市财政局、市农业农村局相关业务处室，通过座谈，了解政策基本情况，明确评价目的和重点、时限等要求。</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成立评价工作组。根据被评价政策特点，选取外部专家，组成评价工作组，学习政策实施的背景和内容，会商评价思路，列明需部门提供的评价资料清单。</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（2）组织实施阶段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收集绩效评价信息。评价工作组收集、梳理2024年加力支持消费品以旧换新-农机报废更新政策实施方案及省内其他地区农业机械报废更新补贴政策实施方案、实施标准情况；协同市财政局项目负责人入户市农业农村局开展政策评价项目对接会，就前期编制的资料清单同市农业农村局沟通，由市农业农村局提供前期方案编制所需资料。</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编制绩效评价方案。根据绩效评价要求和政策基本情况，制定绩效评价方案，包括政策基本概况、评价工作安排、社会调查方案和绩效评价指标体系等。征求市农业农村局意见后组织实施。</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（3）现场评价阶段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材料评审。评价工作组入户市农业农村局，根据资料清单及绩效评价指标体系，核查政策实施所在区域单位提供档案材料及山东青岛农机报废补贴辅助管理系统中补贴申请情况，查看是否存在超范围、超标准发放等问题；对政策实施绩效等情况进行审核、分析，从中发现差异与问题，并对政策实施主体开展现场评价。</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现场评价。根据提供的资料，2024年使用超长期特别国债资金进行农业机械报废的区（市）为西海岸新区、胶州市、平度市，其中：西海岸新区使用超长期特别国债资金30万元，胶州市使用超长期特别国债资金40万元，平度市使用超长期特别国债资金40万元及市本级配套资金19.999万元。按照“不低于具体政策实施单位数量的30%、政策资金预算总额的60%”的选点原则，我们选择对胶州市和平度市实施现场评价。</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们按照资金量的比重抽取胶州市积粮居农机具维修部、青岛聚隆祥农机有限公司和青岛鹏飞农业机械有限公司三个回收企业，前往回收企业了解政策的实施情况，查看回收企业是否存在安全隐患及实施回收拆解场地的情况。经现场查看，回收拆解企业均在拆解现场配备灭火器，2024年申请补贴的农机均已拆解完成，回收企业已提前收取部分待报废农机，为2025年农机报废政策的实施做好提前准备工作。</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我们前往平度市农业农村部门，了解到平度市农业农村部门要求回收拆解企业购买统一型号的监控器，并将监控统一联网到平度市农业农村部门，以便对回收企业实施远程监督。</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社会调查。采用网络问卷的方式，对政策受益对象群体进行调查，了解被调查对象对政策实施的知晓情况、实施效果的满意程度，以及对政策制定、执行过程中存在问题的改进建议。一是我们针对政策受益对象随机发放问卷调查，调查其对政策的知晓度，本次调查问卷共收回135份，其中身份属于受益群体的有效问卷127份，政策知晓度83.00%。二是我们选取了部分已享受过2024年农机报废补贴的人群，调查其对政策的满意程度，本次调查问卷共收回135份，其中享受过补贴的有效问卷86份，调查满意度为94.88%。具体调查数据、分析过程和受益对象反映的问题等详见附件3-满意度调查报告。</w:t>
      </w:r>
    </w:p>
    <w:p>
      <w:pPr>
        <w:pStyle w:val="2"/>
        <w:spacing w:line="560" w:lineRule="exact"/>
        <w:ind w:firstLine="640"/>
        <w:outlineLvl w:val="9"/>
        <w:rPr>
          <w:rFonts w:hint="eastAsia" w:ascii="仿宋_GB2312" w:hAnsi="仿宋_GB2312" w:eastAsia="仿宋_GB2312" w:cs="仿宋_GB2312"/>
          <w:szCs w:val="40"/>
        </w:rPr>
      </w:pPr>
      <w:r>
        <w:rPr>
          <w:rFonts w:hint="eastAsia" w:ascii="仿宋_GB2312" w:hAnsi="仿宋_GB2312" w:eastAsia="仿宋_GB2312" w:cs="仿宋_GB2312"/>
          <w:szCs w:val="40"/>
        </w:rPr>
        <w:t>综合分析。评价工作组根据现场情况、材料评审情况、问卷调查结果等，结合政策评价指标体系，依据制订的评价标准和评分规则，对政策制定、政策实施、政策产出、政策效益进行量化打分，并出具相应评价结论。分析评价过程中对于部分需要进一步补充说明的资料，评价工作组给市农业农村部门下达二次材料补充通知。</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（4）报告形成阶段</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报告撰写。评价工作组整理本次绩效评价所有的过程资料，并将所有评价结论依据要求进行整理，按照既定格式撰写项目绩效评价报告，内容主要包括政策基本情况、绩效评价工作开展情况、总体绩效结论及分析、政策实施成效、发现的问题及原因分析、意见建议等，撰写完成后报送项目负责人审核内容。</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报告修改完善。将评价报告提交市财政局和市农业农村局征求意见，根据有效意见修改完善，出具最终报告。</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3.评价方法</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主要采用因素分析法、比较法、成本效益法、公众评判法等方法，对2024年加力支持消费品以旧换新-农机报废更新政策实施效果和继续实施的必要性进行评价论证。根据本次绩效评价政策特点，工作组主要采取现场抽查、社会调查的方式开展。</w:t>
      </w:r>
    </w:p>
    <w:p>
      <w:pPr>
        <w:spacing w:line="560" w:lineRule="exact"/>
        <w:ind w:firstLine="640" w:firstLineChars="200"/>
        <w:outlineLvl w:val="0"/>
        <w:rPr>
          <w:rFonts w:hint="eastAsia" w:ascii="黑体" w:hAnsi="黑体" w:eastAsia="黑体" w:cs="黑体"/>
          <w:sz w:val="32"/>
          <w:szCs w:val="40"/>
        </w:rPr>
      </w:pPr>
      <w:bookmarkStart w:id="18" w:name="_Toc204175358"/>
      <w:bookmarkStart w:id="19" w:name="_Toc204175506"/>
      <w:r>
        <w:rPr>
          <w:rFonts w:hint="eastAsia" w:ascii="黑体" w:hAnsi="黑体" w:eastAsia="黑体" w:cs="黑体"/>
          <w:sz w:val="32"/>
          <w:szCs w:val="40"/>
        </w:rPr>
        <w:t>三、评价结论及分析</w:t>
      </w:r>
      <w:bookmarkEnd w:id="18"/>
      <w:bookmarkEnd w:id="19"/>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评价情况，结合专家意见，评价组对2024年加力支持消费品以旧换新-农机报废更新政策进行了综合分析，并从政策制定、政策实施、政策效果三个维度对2024年加力支持消费品以旧换新-农机报废更新政策进行了评价，评价得分90.52分（详见附件1：2024年加力支持消费品以旧换新-农机报废更新政策绩效评价指标体系及评分表），评价结果为“优”。得分情况详见下表：</w:t>
      </w:r>
    </w:p>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2024年加力支持消费品以旧换新-农机报废更新政策</w:t>
      </w:r>
    </w:p>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绩效评价得分情况表</w:t>
      </w:r>
    </w:p>
    <w:tbl>
      <w:tblPr>
        <w:tblStyle w:val="17"/>
        <w:tblW w:w="8349" w:type="dxa"/>
        <w:tblInd w:w="2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2087"/>
        <w:gridCol w:w="2087"/>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一级指标</w:t>
            </w:r>
          </w:p>
        </w:tc>
        <w:tc>
          <w:tcPr>
            <w:tcW w:w="2087"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指标分值</w:t>
            </w:r>
          </w:p>
        </w:tc>
        <w:tc>
          <w:tcPr>
            <w:tcW w:w="2087"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得分</w:t>
            </w:r>
          </w:p>
        </w:tc>
        <w:tc>
          <w:tcPr>
            <w:tcW w:w="2088" w:type="dxa"/>
          </w:tcPr>
          <w:p>
            <w:pPr>
              <w:spacing w:line="560" w:lineRule="exact"/>
              <w:jc w:val="center"/>
              <w:rPr>
                <w:rFonts w:hint="eastAsia" w:ascii="黑体" w:hAnsi="黑体" w:eastAsia="黑体" w:cs="黑体"/>
                <w:sz w:val="28"/>
                <w:szCs w:val="28"/>
              </w:rPr>
            </w:pPr>
            <w:r>
              <w:rPr>
                <w:rFonts w:hint="eastAsia" w:ascii="黑体" w:hAnsi="黑体" w:eastAsia="黑体" w:cs="黑体"/>
                <w:sz w:val="28"/>
                <w:szCs w:val="28"/>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政策制定</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9.50</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政策实施</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27.20</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政策效果</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3</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82</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合计</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100.00</w:t>
            </w:r>
          </w:p>
        </w:tc>
        <w:tc>
          <w:tcPr>
            <w:tcW w:w="20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90.52</w:t>
            </w:r>
          </w:p>
        </w:tc>
        <w:tc>
          <w:tcPr>
            <w:tcW w:w="208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90.52</w:t>
            </w:r>
          </w:p>
        </w:tc>
      </w:tr>
    </w:tbl>
    <w:p>
      <w:pPr>
        <w:spacing w:line="560" w:lineRule="exact"/>
        <w:ind w:firstLine="640" w:firstLineChars="200"/>
        <w:outlineLvl w:val="1"/>
        <w:rPr>
          <w:rFonts w:hint="eastAsia" w:ascii="楷体_GB2312" w:hAnsi="楷体_GB2312" w:eastAsia="楷体_GB2312" w:cs="楷体_GB2312"/>
          <w:sz w:val="32"/>
          <w:szCs w:val="40"/>
        </w:rPr>
      </w:pPr>
      <w:bookmarkStart w:id="20" w:name="_Toc204175507"/>
      <w:bookmarkStart w:id="21" w:name="_Toc204175359"/>
      <w:r>
        <w:rPr>
          <w:rFonts w:hint="eastAsia" w:ascii="楷体_GB2312" w:hAnsi="楷体_GB2312" w:eastAsia="楷体_GB2312" w:cs="楷体_GB2312"/>
          <w:sz w:val="32"/>
          <w:szCs w:val="40"/>
        </w:rPr>
        <w:t>（一）政策制定。指标分值10分，得分9.50分，得分率95.00%。</w:t>
      </w:r>
      <w:bookmarkEnd w:id="20"/>
      <w:bookmarkEnd w:id="21"/>
    </w:p>
    <w:p>
      <w:pPr>
        <w:spacing w:line="560" w:lineRule="exact"/>
        <w:ind w:firstLine="640" w:firstLineChars="200"/>
        <w:rPr>
          <w:rFonts w:hint="eastAsia" w:ascii="仿宋_GB2312" w:hAnsi="仿宋_GB2312" w:eastAsia="仿宋_GB2312" w:cs="仿宋_GB2312"/>
          <w:color w:val="EE0000"/>
          <w:sz w:val="32"/>
          <w:szCs w:val="40"/>
        </w:rPr>
      </w:pPr>
      <w:r>
        <w:rPr>
          <w:rFonts w:hint="eastAsia" w:ascii="仿宋_GB2312" w:hAnsi="仿宋_GB2312" w:eastAsia="仿宋_GB2312" w:cs="仿宋_GB2312"/>
          <w:sz w:val="32"/>
          <w:szCs w:val="40"/>
        </w:rPr>
        <w:t>本项政策根据农业农村部办公厅等三部门要求和市发展改革委、市商务局工作部署而设立，目的是为了加快老旧农业机械报废更新进度，政策目标较为明确清晰。同时根据省级统一要求制定了补助标准及审核、发放流程，明确了资金分配，但部分绩效目标设置不够科学、合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1.政策设立。指标分值3分，得分3分。包括设立依据充分性和设立程序规范性2个三级指标。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设立依据充分性”指标分值1.5分，得分1.5分。根据《农业农村部办公厅、财政部办公厅关于加大工作力度持续实施好农业机械报废更新补贴政策的通知》（农办机〔2024〕4号）、《国家发展改革委、财政部关于加力支持大规模设备更新和消费品以旧换新的若干措施》（发改环资〔2024〕1104号）和《农业农村部办公厅、国家发展改革委办公厅、财政部办公厅关于加大工作力度持续实施好农业机械报废更新补贴政策的补充通知》（农办机〔2024〕5号）等相关文件，市农业农村局制定2024年加力支持消费品以旧换新-农机报废更新政策并组织实施，政策设立依据充分，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（2）“设立程序规范性”指标分值1.5分，得分1.5分。2024年加力支持消费品以旧换新-农机报废更新政策根据中央和省级相关政策要求及标准制定，按程序申请设立，按照评价标准得满分。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2.政策目标。指标分值2分，得分1.5分，扣减0.5分。包括目标合理性1个三级指标。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（1）“目标合理性”指标分值2分，得分</w:t>
      </w:r>
      <w:r>
        <w:rPr>
          <w:rFonts w:ascii="仿宋_GB2312" w:hAnsi="仿宋_GB2312" w:eastAsia="仿宋_GB2312" w:cs="仿宋_GB2312"/>
          <w:sz w:val="32"/>
          <w:szCs w:val="40"/>
        </w:rPr>
        <w:t>1.5</w:t>
      </w:r>
      <w:r>
        <w:rPr>
          <w:rFonts w:hint="eastAsia" w:ascii="仿宋_GB2312" w:hAnsi="仿宋_GB2312" w:eastAsia="仿宋_GB2312" w:cs="仿宋_GB2312"/>
          <w:sz w:val="32"/>
          <w:szCs w:val="40"/>
        </w:rPr>
        <w:t>分，扣减0.5分。主要原因为：政策预期产出效益和效果与实际工作的业绩水平相差较大，绩效目标预期报废农机数量200台，实际报废农机数量372台，实际报废达预期值372/200=186.00%；绩效目标预期受益农户数90户，实际受益农户数275户，实际受益达预期值275/90=305.56%，按照评价标准得1.5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3.资金安排。指标分值5分，得分5分。包括政策支出标准科学性、资金分配合理性2个三级指标。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支出标准科学性”指标分值2.5分，得分2.5分。市农业农村局根据《农业农村部办公厅、国家发展改革委办公厅、财政部办公厅关于加大工作力度持续实施好农业机械报废更新补贴政策的补充通知》（农办机〔2024〕5号）等相关配套文件，修改本市农机报废补贴标准，严格按照上级政策文件要求制定青岛市农机报废补贴额标准，不超过上级规定补贴额的最高标准，政策支出标准科学，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（2）“资金分配合理性”指标分值2.5分，得分2.5分。政策已制定相关资金管理办法，并在管理办法中明确资金分配办法，未发现不合规不合理情况，按照评价标准得满分。 </w:t>
      </w:r>
    </w:p>
    <w:p>
      <w:pPr>
        <w:spacing w:line="560" w:lineRule="exact"/>
        <w:ind w:firstLine="640" w:firstLineChars="200"/>
        <w:outlineLvl w:val="1"/>
        <w:rPr>
          <w:rFonts w:hint="eastAsia" w:ascii="楷体_GB2312" w:hAnsi="楷体_GB2312" w:eastAsia="楷体_GB2312" w:cs="楷体_GB2312"/>
          <w:sz w:val="32"/>
          <w:szCs w:val="40"/>
        </w:rPr>
      </w:pPr>
      <w:bookmarkStart w:id="22" w:name="_Toc204175360"/>
      <w:bookmarkStart w:id="23" w:name="_Toc204175508"/>
      <w:r>
        <w:rPr>
          <w:rFonts w:hint="eastAsia" w:ascii="楷体_GB2312" w:hAnsi="楷体_GB2312" w:eastAsia="楷体_GB2312" w:cs="楷体_GB2312"/>
          <w:sz w:val="32"/>
          <w:szCs w:val="40"/>
        </w:rPr>
        <w:t>（二）政策实施。指标分值30分，得分27.20分，得分率90.67%。</w:t>
      </w:r>
      <w:bookmarkEnd w:id="22"/>
      <w:bookmarkEnd w:id="2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市农业农村局和各区（市）农业农村部门持续做好2024年农业机械报废更新补贴政策工作，严格按照相关资金管理办法进行管理，对补贴申报资料进行审核，监督回收企业完成拆解农业机具工作，审核通过后进行补贴发放。但实施过程审核力度仍待加强，存在申请资料内容不完整，申请补贴资料签字不一致现象。</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1.资金管理。指标分值12分，得分11.7分，扣减0.3分。包括资金到位保障、预算执行率和资金使用规范性3个三级指标。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（1）“资金到位保障”指标分值3分，得分3分。根据《国家发展改革委 财政部印发〈关于加力支持大规模设备更新和消费品以旧换新的若干措施〉的通知》（发改环资〔2024〕1104号）等文件要求，青岛市级财政已按要求投入配套资金并落实到位，按照评价标准得满分。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（2）“预算执行率”指标分值3分，得分3分。政策计划安排资金130.00万元，实际兑付资金129.999万元，预算执行率99.99%，按照评价标准得满分。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资金使用规范性”指标分值6分，得分5.7分，扣减0.3分。主要原因为在资金的拨付中发现有一例申请补贴的《确认表》中缺少回收企业盖章，未严格按照完整的审批程序和手续执行的情况，按照评价标准得5.7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2.保障机制。指标分值18分，得分15.5分，扣减2.5分。包括政策制度健全性和政策执行监管2个三级指标。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（1）“政策制度健全性”指标分值8分，得分8分。市农业农村局具有财务管理制度和《青岛市农业发展资金管理办法》，制度合法合规，未发现不健全情况，按照评价标准得满分。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执行监管”指标分值10分，得分7.5分，扣减2.5分。根据对补贴资料的抽查，发现部分补贴资料内容不完整，主要包括以下情形：一是确认表中未填写回收农业机械的日期；二是报废的农业机械铭牌上明确印有机具出厂日期，但是确认表中未填写出厂日期；三是确认表中未填写回收企业、机主的申请、审批日期；四是确认表中缺少区农业农村部门的审批日期；五是报废承诺书中未填写报废原因。按照评价标准得7.5分。</w:t>
      </w:r>
    </w:p>
    <w:p>
      <w:pPr>
        <w:spacing w:line="560" w:lineRule="exact"/>
        <w:ind w:firstLine="640" w:firstLineChars="200"/>
        <w:outlineLvl w:val="1"/>
        <w:rPr>
          <w:rFonts w:hint="eastAsia" w:ascii="楷体_GB2312" w:hAnsi="仿宋_GB2312" w:eastAsia="楷体_GB2312" w:cs="仿宋_GB2312"/>
          <w:sz w:val="32"/>
          <w:szCs w:val="40"/>
        </w:rPr>
      </w:pPr>
      <w:bookmarkStart w:id="24" w:name="_Toc204175361"/>
      <w:bookmarkStart w:id="25" w:name="_Toc204175509"/>
      <w:r>
        <w:rPr>
          <w:rFonts w:hint="eastAsia" w:ascii="楷体_GB2312" w:hAnsi="仿宋_GB2312" w:eastAsia="楷体_GB2312" w:cs="仿宋_GB2312"/>
          <w:sz w:val="32"/>
          <w:szCs w:val="40"/>
        </w:rPr>
        <w:t>（三）政策效果。指标分值60分，得分53.82分，得分率89.70%。</w:t>
      </w:r>
      <w:bookmarkEnd w:id="24"/>
      <w:bookmarkEnd w:id="25"/>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调查结果显示，农机报废补贴政策的持续实施进一步加快了青岛市农业机械报废更新进度，各区（市）农业农村部门依赖于往年开展农机报废工作的经验，在实施2024年政策时，流程清晰、明确，各部门之间协调通畅，补贴资金发放及时，农机机主满意度较高，但仍存在公示环节不合规、归档资料不完整等细节问题。</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1.政策产出。指标分值20分，得分17分，扣减3分。包括数量指标、质量指标、时效指标和成本指标4个三级指标。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（1）数量指标。指标分值5分，得分5分。包括报废更新补贴机具数（台）的完成率、直接受益农户数（户）的完成率2个四级指标。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报废更新补贴机具数（台）的完成率</w:t>
      </w:r>
      <w:r>
        <w:rPr>
          <w:rFonts w:hint="eastAsia" w:ascii="仿宋_GB2312" w:hAnsi="仿宋_GB2312" w:eastAsia="仿宋_GB2312" w:cs="仿宋_GB2312"/>
          <w:sz w:val="32"/>
          <w:szCs w:val="40"/>
        </w:rPr>
        <w:t>。指标分值2.5分，得分2.5分。2024年市农业农村局计划完成报废更新补贴机具数量为200台，实际完成372台农业机具的报废工作，实际完成率=（372/200）×100%=186.00%，大于100%，按照评价标准得满分。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直接受益农户数（户）的完成率</w:t>
      </w:r>
      <w:r>
        <w:rPr>
          <w:rFonts w:hint="eastAsia" w:ascii="仿宋_GB2312" w:hAnsi="仿宋_GB2312" w:eastAsia="仿宋_GB2312" w:cs="仿宋_GB2312"/>
          <w:sz w:val="32"/>
          <w:szCs w:val="40"/>
        </w:rPr>
        <w:t>。指标分值2.5分，得分2.5分。2024年市农业农村局计划完成直接受益的农户数90户，实际受益农户275户，实际完成率=（275/90）×100%=305.56%，大于100%，按照评价标准得满分。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（2）质量指标。指标分值8分，得分7分，扣减1分。包括补贴机具合格率、档案归档的完整率和信息化监管覆盖率3个四级指标。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补贴机具合格率。</w:t>
      </w:r>
      <w:r>
        <w:rPr>
          <w:rFonts w:hint="eastAsia" w:ascii="仿宋_GB2312" w:hAnsi="仿宋_GB2312" w:eastAsia="仿宋_GB2312" w:cs="仿宋_GB2312"/>
          <w:sz w:val="32"/>
          <w:szCs w:val="40"/>
        </w:rPr>
        <w:t>指标分值3分，得分3分。经抽查补贴申请资料未发现2024年报废补贴工作中出现报废机具不符合政策规定的情况，按照评价标准得满分。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信息化监管覆盖率</w:t>
      </w:r>
      <w:r>
        <w:rPr>
          <w:rFonts w:hint="eastAsia" w:ascii="仿宋_GB2312" w:hAnsi="仿宋_GB2312" w:eastAsia="仿宋_GB2312" w:cs="仿宋_GB2312"/>
          <w:sz w:val="32"/>
          <w:szCs w:val="40"/>
        </w:rPr>
        <w:t>。指标分值3分，得分3分。经审查， 2024年使用国债资金进行报废的三个区（市），胶州市和平度市能对回收拆解企业进行远程监控，西海岸新区在拆解时能保存录像，按照评价标准得满分。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档案归档的完整率</w:t>
      </w:r>
      <w:r>
        <w:rPr>
          <w:rFonts w:hint="eastAsia" w:ascii="仿宋_GB2312" w:hAnsi="仿宋_GB2312" w:eastAsia="仿宋_GB2312" w:cs="仿宋_GB2312"/>
          <w:sz w:val="32"/>
          <w:szCs w:val="40"/>
        </w:rPr>
        <w:t>。指标分值2分，得分1分，扣减1分。根据对各区（市）提供的农业机械报废补贴档案资料的核查情况，发现13份档案不完整，缺少《农业机械报废承诺书》，按照评价标准得1分。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（3）时效指标。指标分值4分，得分2分，扣减2分。包括补贴信息公示合规性1个四级指标。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补贴信息公示合规性</w:t>
      </w:r>
      <w:r>
        <w:rPr>
          <w:rFonts w:hint="eastAsia" w:ascii="仿宋_GB2312" w:hAnsi="仿宋_GB2312" w:eastAsia="仿宋_GB2312" w:cs="仿宋_GB2312"/>
          <w:sz w:val="32"/>
          <w:szCs w:val="40"/>
        </w:rPr>
        <w:t>。指标分值4分，得分2分，扣减2分。经核查，西海岸新区未在农机购置补贴信息公示专栏进行公示，平度市在公示期未结束就进行资金发放，按照评价标准得2分。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（4）成本指标。指标分值3分，得分3分。包括农业机械报废更新政策标准执行情况1个四级指标。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农业机械报废更新政策标准执行情况。指标分值3分，得分3分。经核查，未发现不按照成本补贴标准进行补贴的机具情况，按照评价标准得满分。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2.政策效益。指标分值40分，得分36.82分，扣减3.18分。包括经济效益、社会效益、生态效益、可持续影响和服务对象满意度5个三级指标。</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经济效益。指标分值9分，得分7.4分，扣减1.6分。包括补贴资金带动农户购置自走式全喂入稻麦联合收割机消费比、补贴资金带动农户购置自走式玉米联合收获机消费比和农作物耕种收综合机械化率3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补贴资金带动农户购置自走式全喂入稻麦联合收割机消费比。</w:t>
      </w:r>
      <w:r>
        <w:rPr>
          <w:rFonts w:hint="eastAsia" w:ascii="仿宋_GB2312" w:hAnsi="仿宋_GB2312" w:eastAsia="仿宋_GB2312" w:cs="仿宋_GB2312"/>
          <w:sz w:val="32"/>
          <w:szCs w:val="40"/>
        </w:rPr>
        <w:t>指标分值4分，得分2.4分，扣减1.6分。经统计，自走式全喂入稻麦联合收割机销售额共计</w:t>
      </w:r>
      <w:r>
        <w:rPr>
          <w:rFonts w:ascii="仿宋_GB2312" w:hAnsi="仿宋_GB2312" w:eastAsia="仿宋_GB2312" w:cs="仿宋_GB2312"/>
          <w:sz w:val="32"/>
          <w:szCs w:val="40"/>
        </w:rPr>
        <w:t>573</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000</w:t>
      </w:r>
      <w:r>
        <w:rPr>
          <w:rFonts w:hint="eastAsia" w:ascii="仿宋_GB2312" w:hAnsi="仿宋_GB2312" w:eastAsia="仿宋_GB2312" w:cs="仿宋_GB2312"/>
          <w:sz w:val="32"/>
          <w:szCs w:val="40"/>
        </w:rPr>
        <w:t>.00元，补贴金额共计</w:t>
      </w:r>
      <w:r>
        <w:rPr>
          <w:rFonts w:ascii="仿宋_GB2312" w:hAnsi="仿宋_GB2312" w:eastAsia="仿宋_GB2312" w:cs="仿宋_GB2312"/>
          <w:sz w:val="32"/>
          <w:szCs w:val="40"/>
        </w:rPr>
        <w:t>41</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250</w:t>
      </w:r>
      <w:r>
        <w:rPr>
          <w:rFonts w:hint="eastAsia" w:ascii="仿宋_GB2312" w:hAnsi="仿宋_GB2312" w:eastAsia="仿宋_GB2312" w:cs="仿宋_GB2312"/>
          <w:sz w:val="32"/>
          <w:szCs w:val="40"/>
        </w:rPr>
        <w:t>.00元，补贴资金带动农户购置自走式全喂入稻麦联合收割机消费比=1:</w:t>
      </w:r>
      <w:r>
        <w:rPr>
          <w:rFonts w:ascii="仿宋_GB2312" w:hAnsi="仿宋_GB2312" w:eastAsia="仿宋_GB2312" w:cs="仿宋_GB2312"/>
          <w:sz w:val="32"/>
          <w:szCs w:val="40"/>
        </w:rPr>
        <w:t>573000/41250</w:t>
      </w:r>
      <w:r>
        <w:rPr>
          <w:rFonts w:hint="eastAsia" w:ascii="仿宋_GB2312" w:hAnsi="仿宋_GB2312" w:eastAsia="仿宋_GB2312" w:cs="仿宋_GB2312"/>
          <w:sz w:val="32"/>
          <w:szCs w:val="40"/>
        </w:rPr>
        <w:t>=1:</w:t>
      </w:r>
      <w:r>
        <w:rPr>
          <w:rFonts w:ascii="仿宋_GB2312" w:hAnsi="仿宋_GB2312" w:eastAsia="仿宋_GB2312" w:cs="仿宋_GB2312"/>
          <w:sz w:val="32"/>
          <w:szCs w:val="40"/>
        </w:rPr>
        <w:t>13.89</w:t>
      </w:r>
      <w:r>
        <w:rPr>
          <w:rFonts w:hint="eastAsia" w:ascii="仿宋_GB2312" w:hAnsi="仿宋_GB2312" w:eastAsia="仿宋_GB2312" w:cs="仿宋_GB2312"/>
          <w:sz w:val="32"/>
          <w:szCs w:val="40"/>
        </w:rPr>
        <w:t>，按照评价标准扣40%权重分，得2.4分。</w:t>
      </w:r>
    </w:p>
    <w:p>
      <w:pPr>
        <w:spacing w:line="560" w:lineRule="exact"/>
        <w:ind w:firstLine="643" w:firstLineChars="200"/>
        <w:rPr>
          <w:rFonts w:hint="eastAsia" w:ascii="仿宋_GB2312" w:hAnsi="仿宋_GB2312" w:eastAsia="仿宋_GB2312" w:cs="仿宋_GB2312"/>
          <w:b/>
          <w:bCs/>
          <w:sz w:val="32"/>
          <w:szCs w:val="40"/>
        </w:rPr>
      </w:pPr>
      <w:r>
        <w:rPr>
          <w:rFonts w:hint="eastAsia" w:ascii="仿宋_GB2312" w:hAnsi="仿宋_GB2312" w:eastAsia="仿宋_GB2312" w:cs="仿宋_GB2312"/>
          <w:b/>
          <w:bCs/>
          <w:sz w:val="32"/>
          <w:szCs w:val="40"/>
        </w:rPr>
        <w:t>补贴资金带动农户购置自走式玉米联合收获机消费比。</w:t>
      </w:r>
      <w:r>
        <w:rPr>
          <w:rFonts w:hint="eastAsia" w:ascii="仿宋_GB2312" w:hAnsi="仿宋_GB2312" w:eastAsia="仿宋_GB2312" w:cs="仿宋_GB2312"/>
          <w:sz w:val="32"/>
          <w:szCs w:val="40"/>
        </w:rPr>
        <w:t>指标分值3分，得分3分。经统计，自走式玉米联合收获机销售额共计</w:t>
      </w:r>
      <w:r>
        <w:rPr>
          <w:rFonts w:ascii="仿宋_GB2312" w:hAnsi="仿宋_GB2312" w:eastAsia="仿宋_GB2312" w:cs="仿宋_GB2312"/>
          <w:sz w:val="32"/>
          <w:szCs w:val="40"/>
        </w:rPr>
        <w:t>1</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268</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500</w:t>
      </w:r>
      <w:r>
        <w:rPr>
          <w:rFonts w:hint="eastAsia" w:ascii="仿宋_GB2312" w:hAnsi="仿宋_GB2312" w:eastAsia="仿宋_GB2312" w:cs="仿宋_GB2312"/>
          <w:sz w:val="32"/>
          <w:szCs w:val="40"/>
        </w:rPr>
        <w:t>.00元，补贴金额共计</w:t>
      </w:r>
      <w:r>
        <w:rPr>
          <w:rFonts w:ascii="仿宋_GB2312" w:hAnsi="仿宋_GB2312" w:eastAsia="仿宋_GB2312" w:cs="仿宋_GB2312"/>
          <w:sz w:val="32"/>
          <w:szCs w:val="40"/>
        </w:rPr>
        <w:t>78</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000</w:t>
      </w:r>
      <w:r>
        <w:rPr>
          <w:rFonts w:hint="eastAsia" w:ascii="仿宋_GB2312" w:hAnsi="仿宋_GB2312" w:eastAsia="仿宋_GB2312" w:cs="仿宋_GB2312"/>
          <w:sz w:val="32"/>
          <w:szCs w:val="40"/>
        </w:rPr>
        <w:t>.00元，补贴资金带动农户购置自走式玉米联合收获机消费比=1:1268500/78000=1:16.26，按照评价标准得满分。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农作物耕种收综合机械化率。</w:t>
      </w:r>
      <w:r>
        <w:rPr>
          <w:rFonts w:hint="eastAsia" w:ascii="仿宋_GB2312" w:hAnsi="仿宋_GB2312" w:eastAsia="仿宋_GB2312" w:cs="仿宋_GB2312"/>
          <w:sz w:val="32"/>
          <w:szCs w:val="40"/>
        </w:rPr>
        <w:t>指标分值2分，得分2分。山东农机化统计系统显示2024年市农作物耕种收综合机械化率达到92%，2023年市农作物耕种收综合机械化率为91.63%,较去年提高0.37个百分点，按照评价标准得满分。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（2）社会效益。指标分值5分，得分5分。包括安全装置配备率1个四级指标。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安全装置配备率。</w:t>
      </w:r>
      <w:r>
        <w:rPr>
          <w:rFonts w:hint="eastAsia" w:ascii="仿宋_GB2312" w:hAnsi="仿宋_GB2312" w:eastAsia="仿宋_GB2312" w:cs="仿宋_GB2312"/>
          <w:sz w:val="32"/>
          <w:szCs w:val="40"/>
        </w:rPr>
        <w:t>指标分值5分，得分5分。2024年进行农机报废工作的回收企业使用超长期特别国债资金的共8家，经过现场评价和线上提供资料，8家回收企业均配备安全防护设备，按照评价标准得满分。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（3）生态效益。指标分值10分，得分9.62分，扣减0.38分。包括老旧农机高耗能淘汰率1个四级指标。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老旧农机高耗能淘汰率</w:t>
      </w:r>
      <w:r>
        <w:rPr>
          <w:rFonts w:hint="eastAsia" w:ascii="仿宋_GB2312" w:hAnsi="仿宋_GB2312" w:eastAsia="仿宋_GB2312" w:cs="仿宋_GB2312"/>
          <w:sz w:val="32"/>
          <w:szCs w:val="40"/>
        </w:rPr>
        <w:t>。指标分值10分，得分9.62分，扣减0.38分。根据2020年12月28日生态环境部发布的公告，自2022年12月1日起农机排放由“国三”升至“国四”，我们通过2024年回收农机的出厂日期判断其是否为2022年以前生产的高耗能老旧农机。经查询农机报废补贴辅助管理系统，2024年补贴申请中共有14辆农机具铭牌模糊不清，无法识别出厂日期，确认2024年报废农机生产年限在2022年以前的数量占总体报废数量比例=（372-14）/372*100%=96.24%，按照评价标准得9.62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（4）可持续影响。指标分值6分，得分4.8分，扣减1.2分。包括政策延续性和政策完善度2个四级指标。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政策延续性。</w:t>
      </w:r>
      <w:r>
        <w:rPr>
          <w:rFonts w:hint="eastAsia" w:ascii="仿宋_GB2312" w:hAnsi="仿宋_GB2312" w:eastAsia="仿宋_GB2312" w:cs="仿宋_GB2312"/>
          <w:sz w:val="32"/>
          <w:szCs w:val="40"/>
        </w:rPr>
        <w:t>指标分值3分，得分3分。根据各区（市）农业农村部门提供的资料，如：西海岸新区提供的农机报废补贴业务流程图、各区（市）农业农村部门制定的各区有关农业机械报废更新补贴政策的实施方案等，了解到各区（市）农业农村部门通过制定通知、工作流程等方式为后续年度实施农业机械报废补贴政策提供延续性帮助，按照评价标准得满分。</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政策完善度。</w:t>
      </w:r>
      <w:r>
        <w:rPr>
          <w:rFonts w:hint="eastAsia" w:ascii="仿宋_GB2312" w:hAnsi="仿宋_GB2312" w:eastAsia="仿宋_GB2312" w:cs="仿宋_GB2312"/>
          <w:sz w:val="32"/>
          <w:szCs w:val="40"/>
        </w:rPr>
        <w:t>指标分值3分，得分1.8分，扣减1.2分。主要原因为在评价过程中发现工作流程中有需完善的内容：一是实际申请补贴时，存在报废农机铭牌模糊不清的情况，无法判断农机的马力、喂入量等，建议在流程中补充此种情况需提供佐证判断的资料。二是规范补贴留档档案，市农业农村局未对各区市应留档的档案资料做出具体规定，建议在工作流程中补充需统一留存的档案资料明细。按照评价标准得1.8分。</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（5）服务对象满意度。指标分值10分，得分10分。报废农机机主满意度1个四级指标。</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报废农机机主满意度。</w:t>
      </w:r>
      <w:r>
        <w:rPr>
          <w:rFonts w:hint="eastAsia" w:ascii="仿宋_GB2312" w:hAnsi="仿宋_GB2312" w:eastAsia="仿宋_GB2312" w:cs="仿宋_GB2312"/>
          <w:sz w:val="32"/>
          <w:szCs w:val="40"/>
        </w:rPr>
        <w:t>指标分值10分，得分10分。根据问卷调查结果，一共收回135份问卷，其中有效问卷86份，其中60份非常满意、24份满意、2份一般和0份不满意，满意度</w:t>
      </w:r>
      <w:r>
        <w:rPr>
          <w:rFonts w:ascii="仿宋_GB2312" w:hAnsi="仿宋_GB2312" w:eastAsia="仿宋_GB2312" w:cs="仿宋_GB2312"/>
          <w:sz w:val="32"/>
          <w:szCs w:val="40"/>
        </w:rPr>
        <w:t>=60/86*100%+24/86*90%+2/86*0%+0/86*0%=9</w:t>
      </w:r>
      <w:r>
        <w:rPr>
          <w:rFonts w:hint="eastAsia" w:ascii="仿宋_GB2312" w:hAnsi="仿宋_GB2312" w:eastAsia="仿宋_GB2312" w:cs="仿宋_GB2312"/>
          <w:sz w:val="32"/>
          <w:szCs w:val="40"/>
        </w:rPr>
        <w:t>4</w:t>
      </w:r>
      <w:r>
        <w:rPr>
          <w:rFonts w:ascii="仿宋_GB2312" w:hAnsi="仿宋_GB2312" w:eastAsia="仿宋_GB2312" w:cs="仿宋_GB2312"/>
          <w:sz w:val="32"/>
          <w:szCs w:val="40"/>
        </w:rPr>
        <w:t>.</w:t>
      </w:r>
      <w:r>
        <w:rPr>
          <w:rFonts w:hint="eastAsia" w:ascii="仿宋_GB2312" w:hAnsi="仿宋_GB2312" w:eastAsia="仿宋_GB2312" w:cs="仿宋_GB2312"/>
          <w:sz w:val="32"/>
          <w:szCs w:val="40"/>
        </w:rPr>
        <w:t>8</w:t>
      </w:r>
      <w:r>
        <w:rPr>
          <w:rFonts w:ascii="仿宋_GB2312" w:hAnsi="仿宋_GB2312" w:eastAsia="仿宋_GB2312" w:cs="仿宋_GB2312"/>
          <w:sz w:val="32"/>
          <w:szCs w:val="40"/>
        </w:rPr>
        <w:t>8%</w:t>
      </w:r>
      <w:r>
        <w:rPr>
          <w:rFonts w:hint="eastAsia" w:ascii="仿宋_GB2312" w:hAnsi="仿宋_GB2312" w:eastAsia="仿宋_GB2312" w:cs="仿宋_GB2312"/>
          <w:sz w:val="32"/>
          <w:szCs w:val="40"/>
        </w:rPr>
        <w:t xml:space="preserve">，按照评价标准得满分。 </w:t>
      </w:r>
    </w:p>
    <w:p>
      <w:pPr>
        <w:spacing w:line="560" w:lineRule="exact"/>
        <w:ind w:firstLine="640" w:firstLineChars="200"/>
        <w:outlineLvl w:val="0"/>
        <w:rPr>
          <w:rFonts w:hint="eastAsia" w:ascii="黑体" w:hAnsi="黑体" w:eastAsia="黑体" w:cs="黑体"/>
          <w:sz w:val="32"/>
          <w:szCs w:val="40"/>
        </w:rPr>
      </w:pPr>
      <w:bookmarkStart w:id="26" w:name="_Toc204175510"/>
      <w:bookmarkStart w:id="27" w:name="_Toc204175362"/>
      <w:r>
        <w:rPr>
          <w:rFonts w:hint="eastAsia" w:ascii="黑体" w:hAnsi="黑体" w:eastAsia="黑体" w:cs="黑体"/>
          <w:sz w:val="32"/>
          <w:szCs w:val="40"/>
        </w:rPr>
        <w:t>四、政策实施成效</w:t>
      </w:r>
      <w:bookmarkEnd w:id="26"/>
      <w:bookmarkEnd w:id="27"/>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市农业农村局设置绩效指标完成情况如下：</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数量指标</w:t>
      </w:r>
      <w:r>
        <w:rPr>
          <w:rFonts w:hint="eastAsia" w:ascii="仿宋_GB2312" w:hAnsi="仿宋_GB2312" w:eastAsia="仿宋_GB2312" w:cs="仿宋_GB2312"/>
          <w:sz w:val="32"/>
          <w:szCs w:val="40"/>
        </w:rPr>
        <w:t>：报废更新补贴机具数实际完成372台；直接受益农户数275户；</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质量指标：</w:t>
      </w:r>
      <w:r>
        <w:rPr>
          <w:rFonts w:hint="eastAsia" w:ascii="仿宋_GB2312" w:hAnsi="仿宋_GB2312" w:eastAsia="仿宋_GB2312" w:cs="仿宋_GB2312"/>
          <w:sz w:val="32"/>
          <w:szCs w:val="40"/>
        </w:rPr>
        <w:t>补贴对象合格率100%；补贴机具合格率100%；</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时效指标：</w:t>
      </w:r>
      <w:r>
        <w:rPr>
          <w:rFonts w:hint="eastAsia" w:ascii="仿宋_GB2312" w:hAnsi="仿宋_GB2312" w:eastAsia="仿宋_GB2312" w:cs="仿宋_GB2312"/>
          <w:sz w:val="32"/>
          <w:szCs w:val="40"/>
        </w:rPr>
        <w:t>补贴申请、审核及资金发放在2024年12月31日前完成；</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经济效益指标：</w:t>
      </w:r>
      <w:r>
        <w:rPr>
          <w:rFonts w:hint="eastAsia" w:ascii="仿宋_GB2312" w:hAnsi="仿宋_GB2312" w:eastAsia="仿宋_GB2312" w:cs="仿宋_GB2312"/>
          <w:sz w:val="32"/>
          <w:szCs w:val="40"/>
        </w:rPr>
        <w:t xml:space="preserve">农作物耕种收综合机械化率为92.00%； </w:t>
      </w:r>
    </w:p>
    <w:p>
      <w:pPr>
        <w:spacing w:line="560" w:lineRule="exact"/>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服务对象满意度指标</w:t>
      </w:r>
      <w:r>
        <w:rPr>
          <w:rFonts w:hint="eastAsia" w:ascii="仿宋_GB2312" w:hAnsi="仿宋_GB2312" w:eastAsia="仿宋_GB2312" w:cs="仿宋_GB2312"/>
          <w:sz w:val="32"/>
          <w:szCs w:val="40"/>
        </w:rPr>
        <w:t>：根据问卷调查，报废农机机主满意率为94.88%。</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2024年，市农业农村局根据《农业农村部办公厅、财政部办公厅关于加大工作力度持续实施好农业机械报废更新补贴政策的通知》（农办机〔2024〕4号）持续实施好2024年加力支持消费品以旧换新-农机报废更新政策，根据往年的工作经验，提前开展准备工作，预先统计待报废农业机械情况，在2个月内完成了农机的报废更新补贴工作，淘汰高污染、易发生安全事故的农业机械，促进了农业绿色化发展；2024年实现农作物耕种收综合机械化率达到92%，较去年提高0.37个百分点，优化了农机装备结构，提高了农业生产效率。</w:t>
      </w:r>
    </w:p>
    <w:p>
      <w:pPr>
        <w:spacing w:line="560" w:lineRule="exact"/>
        <w:ind w:firstLine="640" w:firstLineChars="200"/>
        <w:outlineLvl w:val="0"/>
        <w:rPr>
          <w:rFonts w:hint="eastAsia" w:ascii="黑体" w:hAnsi="黑体" w:eastAsia="黑体" w:cs="黑体"/>
          <w:sz w:val="32"/>
          <w:szCs w:val="40"/>
        </w:rPr>
      </w:pPr>
      <w:bookmarkStart w:id="28" w:name="_Toc204175511"/>
      <w:bookmarkStart w:id="29" w:name="_Toc204175363"/>
      <w:r>
        <w:rPr>
          <w:rFonts w:hint="eastAsia" w:ascii="黑体" w:hAnsi="黑体" w:eastAsia="黑体" w:cs="黑体"/>
          <w:sz w:val="32"/>
          <w:szCs w:val="40"/>
        </w:rPr>
        <w:t>五、发现的问题及原因分析</w:t>
      </w:r>
      <w:bookmarkEnd w:id="28"/>
      <w:bookmarkEnd w:id="29"/>
    </w:p>
    <w:p>
      <w:pPr>
        <w:spacing w:line="560" w:lineRule="exact"/>
        <w:ind w:firstLine="640" w:firstLineChars="200"/>
        <w:outlineLvl w:val="1"/>
        <w:rPr>
          <w:rFonts w:hint="eastAsia" w:ascii="楷体_GB2312" w:hAnsi="楷体_GB2312" w:eastAsia="楷体_GB2312" w:cs="楷体_GB2312"/>
          <w:sz w:val="32"/>
          <w:szCs w:val="40"/>
        </w:rPr>
      </w:pPr>
      <w:bookmarkStart w:id="30" w:name="_Toc204175364"/>
      <w:bookmarkStart w:id="31" w:name="_Toc204175512"/>
      <w:r>
        <w:rPr>
          <w:rFonts w:hint="eastAsia" w:ascii="楷体_GB2312" w:hAnsi="楷体_GB2312" w:eastAsia="楷体_GB2312" w:cs="楷体_GB2312"/>
          <w:sz w:val="32"/>
          <w:szCs w:val="40"/>
        </w:rPr>
        <w:t>（一）补贴申请资料审核环节力度待加强</w:t>
      </w:r>
      <w:bookmarkEnd w:id="30"/>
      <w:bookmarkEnd w:id="31"/>
      <w:r>
        <w:rPr>
          <w:rFonts w:hint="eastAsia" w:ascii="楷体_GB2312" w:hAnsi="楷体_GB2312" w:eastAsia="楷体_GB2312" w:cs="楷体_GB2312"/>
          <w:sz w:val="32"/>
          <w:szCs w:val="40"/>
        </w:rPr>
        <w:t xml:space="preserve"> </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通过对各区（市）农业农村部门提供的补贴申请资料进行抽查，发现在审核环节存在以下问题：</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部分承诺书及系统中报废条件选择不准确，如：胶州市有12例、平度市有2例农业机械报废承诺书中报废条件选择为达到报废年限，但核查农机铭牌时，铭牌模糊不清无法识别出厂日期，无法判断农机是否到达报废年限。经现场询问，其实应选择维修成本高等五类条件之一。反映出部分回收企业在系统中填报申请的过程中欠严谨。</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2.部分《报废农业机械回收确认表》（以下简称“确认表”）和《农业机械报废承诺书》内容不完整，如：回收确认表编号为</w:t>
      </w:r>
      <w:r>
        <w:rPr>
          <w:rFonts w:ascii="仿宋_GB2312" w:hAnsi="仿宋_GB2312" w:eastAsia="仿宋_GB2312" w:cs="仿宋_GB2312"/>
          <w:sz w:val="32"/>
          <w:szCs w:val="40"/>
        </w:rPr>
        <w:t>9802812400890</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9802812400195</w:t>
      </w:r>
      <w:r>
        <w:rPr>
          <w:rFonts w:hint="eastAsia" w:ascii="仿宋_GB2312" w:hAnsi="仿宋_GB2312" w:eastAsia="仿宋_GB2312" w:cs="仿宋_GB2312"/>
          <w:sz w:val="32"/>
          <w:szCs w:val="40"/>
        </w:rPr>
        <w:t>等确认表中未填写回收农业机械的日期，并且其报废的农业机械铭牌上明确印有机具出厂日期，确认表中也未填写出厂日期；回收确认表编号为</w:t>
      </w:r>
      <w:r>
        <w:rPr>
          <w:rFonts w:ascii="仿宋_GB2312" w:hAnsi="仿宋_GB2312" w:eastAsia="仿宋_GB2312" w:cs="仿宋_GB2312"/>
          <w:sz w:val="32"/>
          <w:szCs w:val="40"/>
        </w:rPr>
        <w:t>9802832400111</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9802832400112</w:t>
      </w:r>
      <w:r>
        <w:rPr>
          <w:rFonts w:hint="eastAsia" w:ascii="仿宋_GB2312" w:hAnsi="仿宋_GB2312" w:eastAsia="仿宋_GB2312" w:cs="仿宋_GB2312"/>
          <w:sz w:val="32"/>
          <w:szCs w:val="40"/>
        </w:rPr>
        <w:t>等确认表中未填写回收企业、机主的申请、审批日期；平度市部分确认表中缺少其农业农村部门的审批日期；回收确认表编号为</w:t>
      </w:r>
      <w:r>
        <w:rPr>
          <w:rFonts w:ascii="仿宋_GB2312" w:hAnsi="仿宋_GB2312" w:eastAsia="仿宋_GB2312" w:cs="仿宋_GB2312"/>
          <w:sz w:val="32"/>
          <w:szCs w:val="40"/>
        </w:rPr>
        <w:t>9802112400218</w:t>
      </w:r>
      <w:r>
        <w:rPr>
          <w:rFonts w:hint="eastAsia" w:ascii="仿宋_GB2312" w:hAnsi="仿宋_GB2312" w:eastAsia="仿宋_GB2312" w:cs="仿宋_GB2312"/>
          <w:sz w:val="32"/>
          <w:szCs w:val="40"/>
        </w:rPr>
        <w:t>的确认表中缺少回收企业盖章；回收确认表编号为</w:t>
      </w:r>
      <w:r>
        <w:rPr>
          <w:rFonts w:ascii="仿宋_GB2312" w:hAnsi="仿宋_GB2312" w:eastAsia="仿宋_GB2312" w:cs="仿宋_GB2312"/>
          <w:sz w:val="32"/>
          <w:szCs w:val="40"/>
        </w:rPr>
        <w:t>9802832400097</w:t>
      </w:r>
      <w:r>
        <w:rPr>
          <w:rFonts w:hint="eastAsia" w:ascii="仿宋_GB2312" w:hAnsi="仿宋_GB2312" w:eastAsia="仿宋_GB2312" w:cs="仿宋_GB2312"/>
          <w:sz w:val="32"/>
          <w:szCs w:val="40"/>
        </w:rPr>
        <w:t>的报废承诺书中未填写报废原因。</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3.补贴申请资料中存在</w:t>
      </w:r>
      <w:r>
        <w:rPr>
          <w:rFonts w:ascii="仿宋_GB2312" w:hAnsi="仿宋_GB2312" w:eastAsia="仿宋_GB2312" w:cs="仿宋_GB2312"/>
          <w:sz w:val="32"/>
          <w:szCs w:val="40"/>
        </w:rPr>
        <w:t>流程倒置</w:t>
      </w:r>
      <w:r>
        <w:rPr>
          <w:rFonts w:hint="eastAsia" w:ascii="仿宋_GB2312" w:hAnsi="仿宋_GB2312" w:eastAsia="仿宋_GB2312" w:cs="仿宋_GB2312"/>
          <w:sz w:val="32"/>
          <w:szCs w:val="40"/>
        </w:rPr>
        <w:t>、签名字迹不一致、信息模糊的情况，如：回收确认表编号为</w:t>
      </w:r>
      <w:r>
        <w:rPr>
          <w:rFonts w:ascii="仿宋_GB2312" w:hAnsi="仿宋_GB2312" w:eastAsia="仿宋_GB2312" w:cs="仿宋_GB2312"/>
          <w:sz w:val="32"/>
          <w:szCs w:val="40"/>
        </w:rPr>
        <w:t>9802112400010</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9802112400057</w:t>
      </w:r>
      <w:r>
        <w:rPr>
          <w:rFonts w:hint="eastAsia" w:ascii="仿宋_GB2312" w:hAnsi="仿宋_GB2312" w:eastAsia="仿宋_GB2312" w:cs="仿宋_GB2312"/>
          <w:sz w:val="32"/>
          <w:szCs w:val="40"/>
        </w:rPr>
        <w:t>等确认表与农机报废承诺书中机主的签名字迹不一致；回收确认表编号为</w:t>
      </w:r>
      <w:r>
        <w:rPr>
          <w:rFonts w:ascii="仿宋_GB2312" w:hAnsi="仿宋_GB2312" w:eastAsia="仿宋_GB2312" w:cs="仿宋_GB2312"/>
          <w:sz w:val="32"/>
          <w:szCs w:val="40"/>
        </w:rPr>
        <w:t>9802832400086</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980283240009</w:t>
      </w:r>
      <w:r>
        <w:rPr>
          <w:rFonts w:hint="eastAsia" w:ascii="仿宋_GB2312" w:hAnsi="仿宋_GB2312" w:eastAsia="仿宋_GB2312" w:cs="仿宋_GB2312"/>
          <w:sz w:val="32"/>
          <w:szCs w:val="40"/>
        </w:rPr>
        <w:t>5等确认表中回收企业的审批日期早于报废承诺书中机主签字日期；胶州市7台手扶拖拉机的申请报废补贴资料中铭牌不清晰，在核查中无法直接判断机具的档次。</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农机报废补贴辅助管理系统资料上传不准确，如：平度市有13例在农机报废补贴辅助管理系统中机具来源及归属承诺书的上传位置未上传承诺书，而是以拖拉机和联合收割机牌证注销证明代替，纸质档案中也未留存承诺书。</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经复核农机补贴申请资料，上述问题涉及的相关机具均符合政策规定的农机报废条件。经核实，上述问题产生的原因为人员操作过程中的遗漏，不影响报废机具的合规性和资金拨付的准确性。</w:t>
      </w:r>
    </w:p>
    <w:p>
      <w:pPr>
        <w:spacing w:line="560" w:lineRule="exact"/>
        <w:ind w:firstLine="640" w:firstLineChars="200"/>
        <w:outlineLvl w:val="1"/>
        <w:rPr>
          <w:rFonts w:hint="eastAsia" w:ascii="楷体_GB2312" w:hAnsi="楷体_GB2312" w:eastAsia="楷体_GB2312" w:cs="楷体_GB2312"/>
          <w:sz w:val="32"/>
          <w:szCs w:val="40"/>
        </w:rPr>
      </w:pPr>
      <w:bookmarkStart w:id="32" w:name="_Toc204175365"/>
      <w:bookmarkStart w:id="33" w:name="_Toc204175513"/>
      <w:r>
        <w:rPr>
          <w:rFonts w:hint="eastAsia" w:ascii="楷体_GB2312" w:hAnsi="楷体_GB2312" w:eastAsia="楷体_GB2312" w:cs="楷体_GB2312"/>
          <w:sz w:val="32"/>
          <w:szCs w:val="40"/>
        </w:rPr>
        <w:t>（二）补贴未按照政策规定方式进行公示</w:t>
      </w:r>
      <w:bookmarkEnd w:id="32"/>
      <w:bookmarkEnd w:id="33"/>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根据关于印发《青岛市农业机械报废更新补贴实施方案》的通知（青农计财字〔2024〕63号）规定：“报废补贴信息要</w:t>
      </w:r>
      <w:bookmarkStart w:id="34" w:name="OLE_LINK3"/>
      <w:r>
        <w:rPr>
          <w:rFonts w:hint="eastAsia" w:ascii="仿宋_GB2312" w:hAnsi="仿宋_GB2312" w:eastAsia="仿宋_GB2312" w:cs="仿宋_GB2312"/>
          <w:sz w:val="32"/>
          <w:szCs w:val="40"/>
        </w:rPr>
        <w:t>在农机购置补贴信息公示专栏</w:t>
      </w:r>
      <w:bookmarkEnd w:id="34"/>
      <w:r>
        <w:rPr>
          <w:rFonts w:hint="eastAsia" w:ascii="仿宋_GB2312" w:hAnsi="仿宋_GB2312" w:eastAsia="仿宋_GB2312" w:cs="仿宋_GB2312"/>
          <w:sz w:val="32"/>
          <w:szCs w:val="40"/>
        </w:rPr>
        <w:t>进行公示，公示时间不少于5个工作日。公示无异议后，区（市）财政部门按规定向符合要求的机主兑付补贴资金。”经查询，西海岸新区未按照文件规定在农机购置补贴信息公示专栏将申请报废补贴的信息进行公示，平度市报废补贴的公示期为2024.12.5-2024.12.11，但是在2024年12月10日公示期未结束时已进行补贴资金的发放。</w:t>
      </w:r>
    </w:p>
    <w:p>
      <w:pPr>
        <w:spacing w:line="560" w:lineRule="exact"/>
        <w:ind w:firstLine="640" w:firstLineChars="200"/>
        <w:outlineLvl w:val="0"/>
        <w:rPr>
          <w:rFonts w:hint="eastAsia" w:ascii="黑体" w:hAnsi="黑体" w:eastAsia="黑体" w:cs="黑体"/>
          <w:sz w:val="32"/>
          <w:szCs w:val="40"/>
        </w:rPr>
      </w:pPr>
      <w:bookmarkStart w:id="35" w:name="_Toc204175514"/>
      <w:bookmarkStart w:id="36" w:name="_Toc204175366"/>
      <w:r>
        <w:rPr>
          <w:rFonts w:hint="eastAsia" w:ascii="黑体" w:hAnsi="黑体" w:eastAsia="黑体" w:cs="黑体"/>
          <w:sz w:val="32"/>
          <w:szCs w:val="40"/>
        </w:rPr>
        <w:t>六、相关建议</w:t>
      </w:r>
      <w:bookmarkEnd w:id="35"/>
      <w:bookmarkEnd w:id="36"/>
    </w:p>
    <w:p>
      <w:pPr>
        <w:spacing w:line="560" w:lineRule="exact"/>
        <w:ind w:firstLine="640" w:firstLineChars="200"/>
        <w:outlineLvl w:val="1"/>
        <w:rPr>
          <w:rFonts w:hint="eastAsia" w:ascii="楷体_GB2312" w:hAnsi="仿宋_GB2312" w:eastAsia="楷体_GB2312" w:cs="仿宋_GB2312"/>
          <w:sz w:val="32"/>
          <w:szCs w:val="40"/>
        </w:rPr>
      </w:pPr>
      <w:bookmarkStart w:id="37" w:name="_Toc204175515"/>
      <w:bookmarkStart w:id="38" w:name="_Toc204175367"/>
      <w:r>
        <w:rPr>
          <w:rFonts w:hint="eastAsia" w:ascii="楷体_GB2312" w:hAnsi="仿宋_GB2312" w:eastAsia="楷体_GB2312" w:cs="仿宋_GB2312"/>
          <w:sz w:val="32"/>
          <w:szCs w:val="40"/>
        </w:rPr>
        <w:t>（一）强化资料审核，健全监督管理机制</w:t>
      </w:r>
      <w:bookmarkEnd w:id="37"/>
      <w:bookmarkEnd w:id="38"/>
    </w:p>
    <w:p>
      <w:pPr>
        <w:spacing w:line="560" w:lineRule="exact"/>
        <w:ind w:firstLine="420" w:firstLineChars="200"/>
        <w:rPr>
          <w:rFonts w:hint="eastAsia" w:ascii="仿宋_GB2312" w:hAnsi="仿宋_GB2312" w:eastAsia="仿宋_GB2312" w:cs="仿宋_GB2312"/>
          <w:sz w:val="32"/>
          <w:szCs w:val="40"/>
        </w:rPr>
      </w:pPr>
      <w:r>
        <w:rPr>
          <w:rFonts w:hint="eastAsia"/>
        </w:rPr>
        <w:t xml:space="preserve"> </w:t>
      </w:r>
      <w:r>
        <w:rPr>
          <w:rFonts w:hint="eastAsia" w:ascii="仿宋_GB2312" w:hAnsi="仿宋_GB2312" w:eastAsia="仿宋_GB2312" w:cs="仿宋_GB2312"/>
          <w:sz w:val="32"/>
          <w:szCs w:val="40"/>
        </w:rPr>
        <w:t>针对补贴资料中日期不完善、系统中报废条件选择错误等问题，建议各区（市）农业农村部门须对前期确认表中涉及的回收日期、出厂日期及各级审批日期等信息进行补充完善。在后续补贴工作中，应严格加强审核力度，重点核查承诺书签字的真实性、确认表内容的完整性以及系统中报废条件选择的准确性。市农业农村局应建立随机抽查机制，对系统内相关资料进行不定期抽检。通过构建多层级监督体系，进一步提升农机报废更新补贴审批工作的及时性与规范性，确保政策落地见效。</w:t>
      </w:r>
    </w:p>
    <w:p>
      <w:pPr>
        <w:spacing w:line="560" w:lineRule="exact"/>
        <w:ind w:firstLine="640" w:firstLineChars="200"/>
        <w:outlineLvl w:val="1"/>
        <w:rPr>
          <w:rFonts w:hint="eastAsia" w:ascii="楷体_GB2312" w:hAnsi="仿宋_GB2312" w:eastAsia="楷体_GB2312" w:cs="仿宋_GB2312"/>
          <w:sz w:val="32"/>
          <w:szCs w:val="40"/>
        </w:rPr>
      </w:pPr>
      <w:bookmarkStart w:id="39" w:name="_Toc204175368"/>
      <w:bookmarkStart w:id="40" w:name="_Toc204175516"/>
      <w:r>
        <w:rPr>
          <w:rFonts w:hint="eastAsia" w:ascii="楷体_GB2312" w:hAnsi="仿宋_GB2312" w:eastAsia="楷体_GB2312" w:cs="仿宋_GB2312"/>
          <w:sz w:val="32"/>
          <w:szCs w:val="40"/>
        </w:rPr>
        <w:t>（二）严格执行政策规定公示要求</w:t>
      </w:r>
      <w:bookmarkEnd w:id="39"/>
      <w:bookmarkEnd w:id="40"/>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针对补贴申请中部分区（市）农业农村部门未按照政策规定方式进行公示的问题，建议各区（市）农业农村部门在后续补贴申请中重视公示环节，严格遵守政策中对公示地点、时间的要求，鼓励在乡村或补贴申请点公示栏中同时公开信息。</w:t>
      </w:r>
    </w:p>
    <w:p>
      <w:pPr>
        <w:spacing w:line="560" w:lineRule="exact"/>
        <w:ind w:firstLine="640" w:firstLineChars="200"/>
        <w:outlineLvl w:val="1"/>
        <w:rPr>
          <w:rFonts w:hint="eastAsia" w:ascii="楷体_GB2312" w:hAnsi="仿宋_GB2312" w:eastAsia="楷体_GB2312" w:cs="仿宋_GB2312"/>
          <w:sz w:val="32"/>
          <w:szCs w:val="40"/>
        </w:rPr>
      </w:pPr>
      <w:bookmarkStart w:id="41" w:name="_Toc204175369"/>
      <w:bookmarkStart w:id="42" w:name="_Toc204175517"/>
      <w:r>
        <w:rPr>
          <w:rFonts w:hint="eastAsia" w:ascii="楷体_GB2312" w:hAnsi="仿宋_GB2312" w:eastAsia="楷体_GB2312" w:cs="仿宋_GB2312"/>
          <w:sz w:val="32"/>
          <w:szCs w:val="40"/>
        </w:rPr>
        <w:t>（三）制定工作流程，提升执行效能</w:t>
      </w:r>
      <w:bookmarkEnd w:id="41"/>
      <w:bookmarkEnd w:id="42"/>
      <w:bookmarkStart w:id="43" w:name="_Hlk203030679"/>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在了解政策执行的过程中我们发现市农业农村局未制定工作流程、工作计划等，建议市农业农村局依据相关政策规定，制定配套工作流程，重点明确以下事项：一是严格划定政策实施各环节时间节点，包括各级审核、审批工作的完成时限，确保时序清晰、衔接有序；二是规范业务办理先后顺序，明确机主提交承诺书、注销有牌证机具、录入系统信息及审批机具拆解确认表等环节的先后流程；三是厘清关键环节执行标准，明确机具拆解确认表是否通过系统生成、铭牌信息缺失导致无法判定机具档次需提供佐证资料等细节要求。通过上述措施，促进政策执行精准规范，全面提升工作效率，推动政策落地见效，合理测算项目资金需求，提高部门预算编制的科学性和精准度，为次年政策连续实施提供有力保障。</w:t>
      </w:r>
    </w:p>
    <w:bookmarkEnd w:id="43"/>
    <w:p>
      <w:pPr>
        <w:spacing w:line="560" w:lineRule="exact"/>
        <w:ind w:firstLine="640" w:firstLineChars="200"/>
        <w:outlineLvl w:val="1"/>
        <w:rPr>
          <w:rFonts w:hint="eastAsia" w:ascii="楷体_GB2312" w:hAnsi="仿宋_GB2312" w:eastAsia="楷体_GB2312" w:cs="仿宋_GB2312"/>
          <w:sz w:val="32"/>
          <w:szCs w:val="40"/>
        </w:rPr>
      </w:pPr>
      <w:bookmarkStart w:id="44" w:name="_Toc204175518"/>
      <w:bookmarkStart w:id="45" w:name="_Toc204175370"/>
      <w:r>
        <w:rPr>
          <w:rFonts w:hint="eastAsia" w:ascii="楷体_GB2312" w:hAnsi="仿宋_GB2312" w:eastAsia="楷体_GB2312" w:cs="仿宋_GB2312"/>
          <w:sz w:val="32"/>
          <w:szCs w:val="40"/>
        </w:rPr>
        <w:t>（四）开展工作交流会，相互借鉴工作经验</w:t>
      </w:r>
      <w:bookmarkEnd w:id="44"/>
      <w:bookmarkEnd w:id="45"/>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在对各区回收拆解企业及各区（市）农业农村部门开展实地调研过程中，发现在进行农机报废实际工作中，部分区（市）的工作模式具有其显著的示范性，其举措为其他各区提供了可复制的实践经验，如：平度市正在开展整村整治，对一个村的农户家中待报废的农机进行摸排同时进行政策宣传；西海岸新区针对报废全流程制定标准化业务流程图，显著提升了工作的规范性与透明度；为保证拆解环节的公正性，区（市）农业农村部门组织回收企业拆解在固定时间进行农业机械拆解工作，同时安排相关部门人员在拆解现场进行监督并全程进行录像。上述实操经验可通过组织专题工作交流会进行分享，助力各区（市）精准借鉴优秀工作经验，进一步优化农机报废补贴工作的实施效能。</w:t>
      </w:r>
    </w:p>
    <w:p>
      <w:pPr>
        <w:spacing w:line="560" w:lineRule="exact"/>
        <w:ind w:firstLine="640" w:firstLineChars="200"/>
        <w:outlineLvl w:val="1"/>
        <w:rPr>
          <w:rFonts w:hint="eastAsia" w:ascii="楷体_GB2312" w:hAnsi="仿宋_GB2312" w:eastAsia="楷体_GB2312" w:cs="仿宋_GB2312"/>
          <w:sz w:val="32"/>
          <w:szCs w:val="40"/>
        </w:rPr>
      </w:pPr>
      <w:bookmarkStart w:id="46" w:name="_Toc204175371"/>
      <w:bookmarkStart w:id="47" w:name="_Toc204175519"/>
      <w:r>
        <w:rPr>
          <w:rFonts w:hint="eastAsia" w:ascii="楷体_GB2312" w:hAnsi="仿宋_GB2312" w:eastAsia="楷体_GB2312" w:cs="仿宋_GB2312"/>
          <w:sz w:val="32"/>
          <w:szCs w:val="40"/>
        </w:rPr>
        <w:t>（五）统一归档资料要求，提高档案完整度</w:t>
      </w:r>
      <w:bookmarkEnd w:id="46"/>
      <w:bookmarkEnd w:id="47"/>
      <w:bookmarkStart w:id="48" w:name="_Hlk203030928"/>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在抽查各区（市）农业农村部门的补贴档案留存资料时，我们发现各区市留档资料不统一，建议市农业农村局与各区（市）加强沟通协调，确保归档材料执行统一标准。明确纸质档案中需留存的资料范围，除拆解环节政策规定的资料外，前期申请补贴的资料也须一并归档。同时，结合本政策的特殊性，建立电子档案，用于保存视频等电子资料。通过上述措施，保障归档资料的完整度，减少不同区（市）之间档案的差异性，强化对回收拆解企业的监督管理。</w:t>
      </w:r>
    </w:p>
    <w:bookmarkEnd w:id="48"/>
    <w:p>
      <w:pPr>
        <w:spacing w:line="560" w:lineRule="exact"/>
        <w:ind w:firstLine="640" w:firstLineChars="200"/>
        <w:outlineLvl w:val="1"/>
        <w:rPr>
          <w:rFonts w:hint="eastAsia" w:ascii="楷体_GB2312" w:hAnsi="仿宋_GB2312" w:eastAsia="楷体_GB2312" w:cs="仿宋_GB2312"/>
          <w:sz w:val="32"/>
          <w:szCs w:val="40"/>
        </w:rPr>
      </w:pPr>
      <w:bookmarkStart w:id="49" w:name="_Toc204175372"/>
      <w:bookmarkStart w:id="50" w:name="_Toc204175520"/>
      <w:r>
        <w:rPr>
          <w:rFonts w:hint="eastAsia" w:ascii="楷体_GB2312" w:hAnsi="仿宋_GB2312" w:eastAsia="楷体_GB2312" w:cs="仿宋_GB2312"/>
          <w:sz w:val="32"/>
          <w:szCs w:val="40"/>
        </w:rPr>
        <w:t>（六）拓宽政策宣传途径，提高政策知晓度</w:t>
      </w:r>
      <w:bookmarkEnd w:id="49"/>
      <w:bookmarkEnd w:id="50"/>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们通过随机抽取受益对象的方式进行调查问卷，显示政策知晓度为83.00%，以及通过实地走访过程中了解到农民知晓政策的方式还是口口相传居多，建议各区（市）农业农村部门开展政策宣传工作时，制定明确的宣传计划，其中应包含时间表、宣传内容及渠道选择等要素。要结合不同阶段和场合特点，开展针对性宣传，确保政策宣传的全面性与及时性。同时，应加强多方合作以提升宣传效果。各区（市）可与媒体、社会组织、农机合作社建立合作关系，联合开展政策宣传活动，充分利用各方资源与影响力，扩大政策宣传覆盖范围。通过上述措施，进一步增强政策宣传的力度与广度，提升宣传工作的实效性，增进受众对政策的了解。</w:t>
      </w:r>
    </w:p>
    <w:p>
      <w:pPr>
        <w:spacing w:line="560" w:lineRule="exact"/>
        <w:ind w:firstLine="1280" w:firstLineChars="400"/>
        <w:rPr>
          <w:rFonts w:hint="eastAsia" w:ascii="仿宋_GB2312" w:hAnsi="仿宋_GB2312" w:eastAsia="仿宋_GB2312" w:cs="仿宋_GB2312"/>
          <w:sz w:val="32"/>
          <w:szCs w:val="40"/>
        </w:rPr>
      </w:pPr>
    </w:p>
    <w:sectPr>
      <w:footerReference r:id="rId3" w:type="default"/>
      <w:pgSz w:w="11906" w:h="16838"/>
      <w:pgMar w:top="2041" w:right="1701" w:bottom="2041" w:left="1701" w:header="851" w:footer="1361" w:gutter="0"/>
      <w:pgNumType w:start="1"/>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48055" cy="197485"/>
              <wp:effectExtent l="0" t="0" r="0" b="0"/>
              <wp:wrapNone/>
              <wp:docPr id="1" name="文本框 2"/>
              <wp:cNvGraphicFramePr/>
              <a:graphic xmlns:a="http://schemas.openxmlformats.org/drawingml/2006/main">
                <a:graphicData uri="http://schemas.microsoft.com/office/word/2010/wordprocessingShape">
                  <wps:wsp>
                    <wps:cNvSpPr txBox="1"/>
                    <wps:spPr>
                      <a:xfrm>
                        <a:off x="0" y="0"/>
                        <a:ext cx="948055" cy="197485"/>
                      </a:xfrm>
                      <a:prstGeom prst="rect">
                        <a:avLst/>
                      </a:prstGeom>
                      <a:noFill/>
                      <a:ln w="6350">
                        <a:noFill/>
                      </a:ln>
                    </wps:spPr>
                    <wps:txbx>
                      <w:txbxContent>
                        <w:p>
                          <w:pPr>
                            <w:pStyle w:val="8"/>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rPr>
                            <w:fldChar w:fldCharType="begin"/>
                          </w:r>
                          <w:r>
                            <w:rPr>
                              <w:rFonts w:hint="eastAsia" w:asciiTheme="majorEastAsia" w:hAnsiTheme="majorEastAsia" w:eastAsiaTheme="majorEastAsia" w:cstheme="majorEastAsia"/>
                              <w:sz w:val="24"/>
                            </w:rPr>
                            <w:instrText xml:space="preserve"> PAGE  \* MERGEFORMAT </w:instrText>
                          </w:r>
                          <w:r>
                            <w:rPr>
                              <w:rFonts w:hint="eastAsia" w:asciiTheme="majorEastAsia" w:hAnsiTheme="majorEastAsia" w:eastAsiaTheme="majorEastAsia" w:cstheme="majorEastAsia"/>
                              <w:sz w:val="24"/>
                            </w:rPr>
                            <w:fldChar w:fldCharType="separate"/>
                          </w:r>
                          <w:r>
                            <w:rPr>
                              <w:rFonts w:asciiTheme="majorEastAsia" w:hAnsiTheme="majorEastAsia" w:eastAsiaTheme="majorEastAsia" w:cstheme="majorEastAsia"/>
                              <w:sz w:val="24"/>
                            </w:rPr>
                            <w:t>2</w:t>
                          </w:r>
                          <w:r>
                            <w:rPr>
                              <w:rFonts w:hint="eastAsia" w:asciiTheme="majorEastAsia" w:hAnsiTheme="majorEastAsia" w:eastAsiaTheme="majorEastAsia" w:cstheme="majorEastAsia"/>
                              <w:sz w:val="24"/>
                            </w:rPr>
                            <w:fldChar w:fldCharType="end"/>
                          </w:r>
                          <w:r>
                            <w:rPr>
                              <w:rFonts w:hint="eastAsia" w:asciiTheme="majorEastAsia" w:hAnsiTheme="majorEastAsia" w:eastAsiaTheme="majorEastAsia" w:cstheme="majorEastAsia"/>
                              <w:sz w:val="24"/>
                            </w:rPr>
                            <w:t xml:space="preserve"> —</w:t>
                          </w:r>
                        </w:p>
                      </w:txbxContent>
                    </wps:txbx>
                    <wps:bodyPr lIns="0" tIns="0" rIns="0" bIns="0" upright="1">
                      <a:spAutoFit/>
                    </wps:bodyPr>
                  </wps:wsp>
                </a:graphicData>
              </a:graphic>
            </wp:anchor>
          </w:drawing>
        </mc:Choice>
        <mc:Fallback>
          <w:pict>
            <v:shape id="文本框 2" o:spid="_x0000_s1026" o:spt="202" type="#_x0000_t202" style="position:absolute;left:0pt;margin-top:0pt;height:15.55pt;width:74.65pt;mso-position-horizontal:center;mso-position-horizontal-relative:margin;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rPr>
                      <w:fldChar w:fldCharType="begin"/>
                    </w:r>
                    <w:r>
                      <w:rPr>
                        <w:rFonts w:hint="eastAsia" w:asciiTheme="majorEastAsia" w:hAnsiTheme="majorEastAsia" w:eastAsiaTheme="majorEastAsia" w:cstheme="majorEastAsia"/>
                        <w:sz w:val="24"/>
                      </w:rPr>
                      <w:instrText xml:space="preserve"> PAGE  \* MERGEFORMAT </w:instrText>
                    </w:r>
                    <w:r>
                      <w:rPr>
                        <w:rFonts w:hint="eastAsia" w:asciiTheme="majorEastAsia" w:hAnsiTheme="majorEastAsia" w:eastAsiaTheme="majorEastAsia" w:cstheme="majorEastAsia"/>
                        <w:sz w:val="24"/>
                      </w:rPr>
                      <w:fldChar w:fldCharType="separate"/>
                    </w:r>
                    <w:r>
                      <w:rPr>
                        <w:rFonts w:asciiTheme="majorEastAsia" w:hAnsiTheme="majorEastAsia" w:eastAsiaTheme="majorEastAsia" w:cstheme="majorEastAsia"/>
                        <w:sz w:val="24"/>
                      </w:rPr>
                      <w:t>2</w:t>
                    </w:r>
                    <w:r>
                      <w:rPr>
                        <w:rFonts w:hint="eastAsia" w:asciiTheme="majorEastAsia" w:hAnsiTheme="majorEastAsia" w:eastAsiaTheme="majorEastAsia" w:cstheme="majorEastAsia"/>
                        <w:sz w:val="24"/>
                      </w:rPr>
                      <w:fldChar w:fldCharType="end"/>
                    </w:r>
                    <w:r>
                      <w:rPr>
                        <w:rFonts w:hint="eastAsia" w:asciiTheme="majorEastAsia" w:hAnsiTheme="majorEastAsia" w:eastAsiaTheme="majorEastAsia" w:cstheme="majorEastAsia"/>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72E"/>
    <w:rsid w:val="000043A4"/>
    <w:rsid w:val="000462EE"/>
    <w:rsid w:val="00053765"/>
    <w:rsid w:val="0005680E"/>
    <w:rsid w:val="00062E79"/>
    <w:rsid w:val="00067025"/>
    <w:rsid w:val="00075761"/>
    <w:rsid w:val="0007756A"/>
    <w:rsid w:val="00086EC5"/>
    <w:rsid w:val="00092232"/>
    <w:rsid w:val="000A1CFA"/>
    <w:rsid w:val="000A31DE"/>
    <w:rsid w:val="000A74EA"/>
    <w:rsid w:val="000C0842"/>
    <w:rsid w:val="000C477C"/>
    <w:rsid w:val="000D7985"/>
    <w:rsid w:val="000E0B23"/>
    <w:rsid w:val="000E521B"/>
    <w:rsid w:val="000F11E6"/>
    <w:rsid w:val="00111087"/>
    <w:rsid w:val="00113F03"/>
    <w:rsid w:val="00120A01"/>
    <w:rsid w:val="00132CC8"/>
    <w:rsid w:val="00133EC7"/>
    <w:rsid w:val="00151426"/>
    <w:rsid w:val="00155CFC"/>
    <w:rsid w:val="00172717"/>
    <w:rsid w:val="00173C2C"/>
    <w:rsid w:val="001779EC"/>
    <w:rsid w:val="00185CAF"/>
    <w:rsid w:val="001927AD"/>
    <w:rsid w:val="001A26CB"/>
    <w:rsid w:val="001B5BCD"/>
    <w:rsid w:val="001D3D9F"/>
    <w:rsid w:val="001D4589"/>
    <w:rsid w:val="001D5EB6"/>
    <w:rsid w:val="001D6D14"/>
    <w:rsid w:val="001F754C"/>
    <w:rsid w:val="0020095A"/>
    <w:rsid w:val="0020111A"/>
    <w:rsid w:val="0021272E"/>
    <w:rsid w:val="0021532A"/>
    <w:rsid w:val="00220376"/>
    <w:rsid w:val="002217D4"/>
    <w:rsid w:val="00221EC9"/>
    <w:rsid w:val="00231201"/>
    <w:rsid w:val="002370AB"/>
    <w:rsid w:val="00243105"/>
    <w:rsid w:val="00243BF5"/>
    <w:rsid w:val="00243C1C"/>
    <w:rsid w:val="002517F8"/>
    <w:rsid w:val="0025739B"/>
    <w:rsid w:val="00273B0E"/>
    <w:rsid w:val="002820D5"/>
    <w:rsid w:val="0028268E"/>
    <w:rsid w:val="00293D66"/>
    <w:rsid w:val="00294AE4"/>
    <w:rsid w:val="00296455"/>
    <w:rsid w:val="002B528D"/>
    <w:rsid w:val="002C0DF4"/>
    <w:rsid w:val="002C5D1A"/>
    <w:rsid w:val="002E6A58"/>
    <w:rsid w:val="002E7170"/>
    <w:rsid w:val="003003C4"/>
    <w:rsid w:val="003013F4"/>
    <w:rsid w:val="003032D9"/>
    <w:rsid w:val="00307D98"/>
    <w:rsid w:val="0031315B"/>
    <w:rsid w:val="0031381A"/>
    <w:rsid w:val="00315CC9"/>
    <w:rsid w:val="00322C45"/>
    <w:rsid w:val="0032311A"/>
    <w:rsid w:val="0032682D"/>
    <w:rsid w:val="00332630"/>
    <w:rsid w:val="00336178"/>
    <w:rsid w:val="00345E81"/>
    <w:rsid w:val="00363D34"/>
    <w:rsid w:val="00364921"/>
    <w:rsid w:val="00364C0D"/>
    <w:rsid w:val="00366E5E"/>
    <w:rsid w:val="003757E5"/>
    <w:rsid w:val="00380E4C"/>
    <w:rsid w:val="00381610"/>
    <w:rsid w:val="003857F8"/>
    <w:rsid w:val="003869DD"/>
    <w:rsid w:val="003941A8"/>
    <w:rsid w:val="003D7DBB"/>
    <w:rsid w:val="003E0996"/>
    <w:rsid w:val="003E1736"/>
    <w:rsid w:val="003E79C1"/>
    <w:rsid w:val="003F3654"/>
    <w:rsid w:val="00402E84"/>
    <w:rsid w:val="00405D78"/>
    <w:rsid w:val="00423B86"/>
    <w:rsid w:val="00455434"/>
    <w:rsid w:val="00455C4A"/>
    <w:rsid w:val="00457219"/>
    <w:rsid w:val="0047094F"/>
    <w:rsid w:val="00482016"/>
    <w:rsid w:val="00486E3D"/>
    <w:rsid w:val="004A0C0D"/>
    <w:rsid w:val="004A15FF"/>
    <w:rsid w:val="004A1EF4"/>
    <w:rsid w:val="004C7899"/>
    <w:rsid w:val="004D3F00"/>
    <w:rsid w:val="004E05BF"/>
    <w:rsid w:val="004E1CC7"/>
    <w:rsid w:val="004F07DD"/>
    <w:rsid w:val="004F24EA"/>
    <w:rsid w:val="004F4743"/>
    <w:rsid w:val="00503887"/>
    <w:rsid w:val="005040D9"/>
    <w:rsid w:val="005213CA"/>
    <w:rsid w:val="00522482"/>
    <w:rsid w:val="00524AB7"/>
    <w:rsid w:val="00534D46"/>
    <w:rsid w:val="00551194"/>
    <w:rsid w:val="00561685"/>
    <w:rsid w:val="00564F54"/>
    <w:rsid w:val="005712EC"/>
    <w:rsid w:val="00580687"/>
    <w:rsid w:val="005900D3"/>
    <w:rsid w:val="00591D8D"/>
    <w:rsid w:val="00592A3F"/>
    <w:rsid w:val="00593765"/>
    <w:rsid w:val="005A35B8"/>
    <w:rsid w:val="005B4D0B"/>
    <w:rsid w:val="005B65F1"/>
    <w:rsid w:val="005C236A"/>
    <w:rsid w:val="005D7DDD"/>
    <w:rsid w:val="005E660F"/>
    <w:rsid w:val="005F601E"/>
    <w:rsid w:val="00600F63"/>
    <w:rsid w:val="006032C9"/>
    <w:rsid w:val="006044BA"/>
    <w:rsid w:val="00620533"/>
    <w:rsid w:val="006213FF"/>
    <w:rsid w:val="006258E7"/>
    <w:rsid w:val="00632CFC"/>
    <w:rsid w:val="00633600"/>
    <w:rsid w:val="0063623B"/>
    <w:rsid w:val="00637677"/>
    <w:rsid w:val="0064724D"/>
    <w:rsid w:val="00653955"/>
    <w:rsid w:val="006760D3"/>
    <w:rsid w:val="00687AC1"/>
    <w:rsid w:val="006951A9"/>
    <w:rsid w:val="006B6022"/>
    <w:rsid w:val="006C5749"/>
    <w:rsid w:val="006D1D53"/>
    <w:rsid w:val="006E205D"/>
    <w:rsid w:val="006F004A"/>
    <w:rsid w:val="006F2090"/>
    <w:rsid w:val="006F603F"/>
    <w:rsid w:val="006F6F21"/>
    <w:rsid w:val="00700703"/>
    <w:rsid w:val="007040C7"/>
    <w:rsid w:val="007056F6"/>
    <w:rsid w:val="00730915"/>
    <w:rsid w:val="0074088A"/>
    <w:rsid w:val="007517DE"/>
    <w:rsid w:val="0076041E"/>
    <w:rsid w:val="00761DB1"/>
    <w:rsid w:val="0076419C"/>
    <w:rsid w:val="007669AF"/>
    <w:rsid w:val="007757C9"/>
    <w:rsid w:val="00781AFB"/>
    <w:rsid w:val="007833B8"/>
    <w:rsid w:val="007C2B8D"/>
    <w:rsid w:val="007C41C2"/>
    <w:rsid w:val="007C7088"/>
    <w:rsid w:val="007D2650"/>
    <w:rsid w:val="007D4A7C"/>
    <w:rsid w:val="007E0717"/>
    <w:rsid w:val="007E19C4"/>
    <w:rsid w:val="007E2745"/>
    <w:rsid w:val="007E74A8"/>
    <w:rsid w:val="007F0F57"/>
    <w:rsid w:val="007F2719"/>
    <w:rsid w:val="007F3A6E"/>
    <w:rsid w:val="007F41C9"/>
    <w:rsid w:val="0081125B"/>
    <w:rsid w:val="0081330A"/>
    <w:rsid w:val="008217B6"/>
    <w:rsid w:val="0083069D"/>
    <w:rsid w:val="00835FB0"/>
    <w:rsid w:val="008478FC"/>
    <w:rsid w:val="00850FF6"/>
    <w:rsid w:val="00857B6F"/>
    <w:rsid w:val="00860C41"/>
    <w:rsid w:val="00862009"/>
    <w:rsid w:val="00862554"/>
    <w:rsid w:val="008705C3"/>
    <w:rsid w:val="00875EE3"/>
    <w:rsid w:val="00887ABF"/>
    <w:rsid w:val="0089369B"/>
    <w:rsid w:val="00894736"/>
    <w:rsid w:val="008A292E"/>
    <w:rsid w:val="008B68B9"/>
    <w:rsid w:val="008B77D5"/>
    <w:rsid w:val="008C5827"/>
    <w:rsid w:val="008D08C8"/>
    <w:rsid w:val="008D0E7E"/>
    <w:rsid w:val="008D0FD3"/>
    <w:rsid w:val="008D6551"/>
    <w:rsid w:val="008D68BA"/>
    <w:rsid w:val="008E4FB0"/>
    <w:rsid w:val="008E6806"/>
    <w:rsid w:val="008F23D4"/>
    <w:rsid w:val="00920F10"/>
    <w:rsid w:val="00931E1F"/>
    <w:rsid w:val="00934063"/>
    <w:rsid w:val="009416A6"/>
    <w:rsid w:val="00951767"/>
    <w:rsid w:val="0095228E"/>
    <w:rsid w:val="00954E5A"/>
    <w:rsid w:val="00956795"/>
    <w:rsid w:val="00956D58"/>
    <w:rsid w:val="00967D43"/>
    <w:rsid w:val="00970CD1"/>
    <w:rsid w:val="00982B51"/>
    <w:rsid w:val="00983750"/>
    <w:rsid w:val="0098381B"/>
    <w:rsid w:val="009902DF"/>
    <w:rsid w:val="00993602"/>
    <w:rsid w:val="00993F13"/>
    <w:rsid w:val="009B5FB5"/>
    <w:rsid w:val="009C09AE"/>
    <w:rsid w:val="009C301F"/>
    <w:rsid w:val="009E57FA"/>
    <w:rsid w:val="009F03A3"/>
    <w:rsid w:val="00A15D37"/>
    <w:rsid w:val="00A20B71"/>
    <w:rsid w:val="00A27EAB"/>
    <w:rsid w:val="00A356B2"/>
    <w:rsid w:val="00A37880"/>
    <w:rsid w:val="00A423E7"/>
    <w:rsid w:val="00A47066"/>
    <w:rsid w:val="00A70D65"/>
    <w:rsid w:val="00A76596"/>
    <w:rsid w:val="00A97420"/>
    <w:rsid w:val="00AA011E"/>
    <w:rsid w:val="00AB2B74"/>
    <w:rsid w:val="00AB55CD"/>
    <w:rsid w:val="00AC3DD5"/>
    <w:rsid w:val="00AC73CD"/>
    <w:rsid w:val="00AC7EA7"/>
    <w:rsid w:val="00AD38F6"/>
    <w:rsid w:val="00AD661C"/>
    <w:rsid w:val="00AD6C66"/>
    <w:rsid w:val="00AE2624"/>
    <w:rsid w:val="00AF2DDE"/>
    <w:rsid w:val="00B006C5"/>
    <w:rsid w:val="00B02AB3"/>
    <w:rsid w:val="00B05195"/>
    <w:rsid w:val="00B147E6"/>
    <w:rsid w:val="00B22190"/>
    <w:rsid w:val="00B305E9"/>
    <w:rsid w:val="00B3063D"/>
    <w:rsid w:val="00B47A88"/>
    <w:rsid w:val="00BC163C"/>
    <w:rsid w:val="00BD6ED8"/>
    <w:rsid w:val="00BE2B2B"/>
    <w:rsid w:val="00BF7595"/>
    <w:rsid w:val="00C003E2"/>
    <w:rsid w:val="00C175D4"/>
    <w:rsid w:val="00C223E0"/>
    <w:rsid w:val="00C226B7"/>
    <w:rsid w:val="00C26422"/>
    <w:rsid w:val="00C2728F"/>
    <w:rsid w:val="00C339C4"/>
    <w:rsid w:val="00C369B8"/>
    <w:rsid w:val="00C52DDA"/>
    <w:rsid w:val="00C565CD"/>
    <w:rsid w:val="00C602A8"/>
    <w:rsid w:val="00C61798"/>
    <w:rsid w:val="00C72570"/>
    <w:rsid w:val="00C7445D"/>
    <w:rsid w:val="00CA562B"/>
    <w:rsid w:val="00CA56BC"/>
    <w:rsid w:val="00CC6362"/>
    <w:rsid w:val="00CC6E15"/>
    <w:rsid w:val="00CF7A8D"/>
    <w:rsid w:val="00D0579A"/>
    <w:rsid w:val="00D121AF"/>
    <w:rsid w:val="00D206EA"/>
    <w:rsid w:val="00D21320"/>
    <w:rsid w:val="00D213AE"/>
    <w:rsid w:val="00D430CF"/>
    <w:rsid w:val="00D47967"/>
    <w:rsid w:val="00D500CE"/>
    <w:rsid w:val="00D515A4"/>
    <w:rsid w:val="00D530A3"/>
    <w:rsid w:val="00D545D0"/>
    <w:rsid w:val="00D54F14"/>
    <w:rsid w:val="00D54F60"/>
    <w:rsid w:val="00D560F6"/>
    <w:rsid w:val="00D5713D"/>
    <w:rsid w:val="00D65C2C"/>
    <w:rsid w:val="00D73C48"/>
    <w:rsid w:val="00D80884"/>
    <w:rsid w:val="00D8561A"/>
    <w:rsid w:val="00D95FD1"/>
    <w:rsid w:val="00D97046"/>
    <w:rsid w:val="00DA1749"/>
    <w:rsid w:val="00DA231D"/>
    <w:rsid w:val="00DB0F41"/>
    <w:rsid w:val="00DC64D1"/>
    <w:rsid w:val="00DE0470"/>
    <w:rsid w:val="00DE2C77"/>
    <w:rsid w:val="00DE5E68"/>
    <w:rsid w:val="00DF0A73"/>
    <w:rsid w:val="00DF0C73"/>
    <w:rsid w:val="00DF467E"/>
    <w:rsid w:val="00DF7BAE"/>
    <w:rsid w:val="00E0012B"/>
    <w:rsid w:val="00E136F9"/>
    <w:rsid w:val="00E21CE3"/>
    <w:rsid w:val="00E22D55"/>
    <w:rsid w:val="00E3486C"/>
    <w:rsid w:val="00E35C59"/>
    <w:rsid w:val="00E37018"/>
    <w:rsid w:val="00E40BA5"/>
    <w:rsid w:val="00E40E86"/>
    <w:rsid w:val="00E5371E"/>
    <w:rsid w:val="00E55A87"/>
    <w:rsid w:val="00E63363"/>
    <w:rsid w:val="00E6524B"/>
    <w:rsid w:val="00E65A43"/>
    <w:rsid w:val="00E711BB"/>
    <w:rsid w:val="00E749D5"/>
    <w:rsid w:val="00E76535"/>
    <w:rsid w:val="00E7698F"/>
    <w:rsid w:val="00E872EE"/>
    <w:rsid w:val="00E901C6"/>
    <w:rsid w:val="00E919C8"/>
    <w:rsid w:val="00E93524"/>
    <w:rsid w:val="00EA1FA8"/>
    <w:rsid w:val="00EA3761"/>
    <w:rsid w:val="00EA7B23"/>
    <w:rsid w:val="00EB56C8"/>
    <w:rsid w:val="00ED1B00"/>
    <w:rsid w:val="00ED49C8"/>
    <w:rsid w:val="00EE181D"/>
    <w:rsid w:val="00EE4395"/>
    <w:rsid w:val="00EF57F0"/>
    <w:rsid w:val="00F01A59"/>
    <w:rsid w:val="00F12119"/>
    <w:rsid w:val="00F15C87"/>
    <w:rsid w:val="00F271F7"/>
    <w:rsid w:val="00F34022"/>
    <w:rsid w:val="00F41209"/>
    <w:rsid w:val="00F51242"/>
    <w:rsid w:val="00F52668"/>
    <w:rsid w:val="00F529B1"/>
    <w:rsid w:val="00F529C2"/>
    <w:rsid w:val="00F5306D"/>
    <w:rsid w:val="00F5533A"/>
    <w:rsid w:val="00F5544A"/>
    <w:rsid w:val="00F56130"/>
    <w:rsid w:val="00F575F1"/>
    <w:rsid w:val="00F6224F"/>
    <w:rsid w:val="00F62B1C"/>
    <w:rsid w:val="00F6568C"/>
    <w:rsid w:val="00F70076"/>
    <w:rsid w:val="00F71358"/>
    <w:rsid w:val="00F73BB5"/>
    <w:rsid w:val="00F74038"/>
    <w:rsid w:val="00F749FD"/>
    <w:rsid w:val="00F91D2F"/>
    <w:rsid w:val="00F9390A"/>
    <w:rsid w:val="00F950F5"/>
    <w:rsid w:val="00FA28DE"/>
    <w:rsid w:val="00FA50AF"/>
    <w:rsid w:val="00FB01F3"/>
    <w:rsid w:val="00FB42BC"/>
    <w:rsid w:val="00FB48E9"/>
    <w:rsid w:val="00FD056F"/>
    <w:rsid w:val="00FD63F3"/>
    <w:rsid w:val="00FE17B7"/>
    <w:rsid w:val="00FE20CB"/>
    <w:rsid w:val="00FE5C9D"/>
    <w:rsid w:val="00FF1B73"/>
    <w:rsid w:val="03015D73"/>
    <w:rsid w:val="054C7DEB"/>
    <w:rsid w:val="0AD32091"/>
    <w:rsid w:val="0BA07177"/>
    <w:rsid w:val="106A3C74"/>
    <w:rsid w:val="181F7418"/>
    <w:rsid w:val="18CB084B"/>
    <w:rsid w:val="213A031C"/>
    <w:rsid w:val="238916A4"/>
    <w:rsid w:val="24EA3E14"/>
    <w:rsid w:val="27CE7A10"/>
    <w:rsid w:val="281731DB"/>
    <w:rsid w:val="286B210C"/>
    <w:rsid w:val="2DC8748F"/>
    <w:rsid w:val="2F8F217B"/>
    <w:rsid w:val="3041265D"/>
    <w:rsid w:val="307F4548"/>
    <w:rsid w:val="310962B6"/>
    <w:rsid w:val="319D6E9C"/>
    <w:rsid w:val="34FE3CD8"/>
    <w:rsid w:val="3BBD1E1E"/>
    <w:rsid w:val="3F6F1FDE"/>
    <w:rsid w:val="40896772"/>
    <w:rsid w:val="4612161E"/>
    <w:rsid w:val="46B12F19"/>
    <w:rsid w:val="48C447EC"/>
    <w:rsid w:val="54240834"/>
    <w:rsid w:val="556B68E0"/>
    <w:rsid w:val="55FD4C24"/>
    <w:rsid w:val="56236D75"/>
    <w:rsid w:val="5AC461A2"/>
    <w:rsid w:val="60443049"/>
    <w:rsid w:val="610E08A2"/>
    <w:rsid w:val="61610FEB"/>
    <w:rsid w:val="62AE304C"/>
    <w:rsid w:val="693C347E"/>
    <w:rsid w:val="6B303356"/>
    <w:rsid w:val="6C692C46"/>
    <w:rsid w:val="6CE32BE3"/>
    <w:rsid w:val="6FEA072C"/>
    <w:rsid w:val="75A650F5"/>
    <w:rsid w:val="7A85352B"/>
    <w:rsid w:val="7BB15E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0"/>
    <w:qFormat/>
    <w:uiPriority w:val="0"/>
    <w:pPr>
      <w:keepNext/>
      <w:keepLines/>
      <w:spacing w:before="340" w:after="330" w:line="578" w:lineRule="auto"/>
      <w:outlineLvl w:val="0"/>
    </w:pPr>
    <w:rPr>
      <w:b/>
      <w:bCs/>
      <w:kern w:val="44"/>
      <w:sz w:val="44"/>
      <w:szCs w:val="44"/>
    </w:rPr>
  </w:style>
  <w:style w:type="character" w:default="1" w:styleId="13">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paragraph" w:styleId="4">
    <w:name w:val="annotation subject"/>
    <w:basedOn w:val="5"/>
    <w:next w:val="5"/>
    <w:link w:val="23"/>
    <w:qFormat/>
    <w:uiPriority w:val="0"/>
    <w:rPr>
      <w:b/>
      <w:bCs/>
    </w:rPr>
  </w:style>
  <w:style w:type="paragraph" w:styleId="5">
    <w:name w:val="annotation text"/>
    <w:basedOn w:val="1"/>
    <w:link w:val="22"/>
    <w:qFormat/>
    <w:uiPriority w:val="0"/>
    <w:pPr>
      <w:jc w:val="left"/>
    </w:pPr>
  </w:style>
  <w:style w:type="paragraph" w:styleId="6">
    <w:name w:val="Body Text Indent"/>
    <w:basedOn w:val="1"/>
    <w:next w:val="1"/>
    <w:qFormat/>
    <w:uiPriority w:val="0"/>
    <w:pPr>
      <w:widowControl/>
      <w:spacing w:before="100" w:beforeAutospacing="1" w:after="100" w:afterAutospacing="1"/>
      <w:jc w:val="left"/>
    </w:pPr>
    <w:rPr>
      <w:rFonts w:ascii="宋体" w:hAnsi="宋体" w:eastAsia="宋体"/>
      <w:kern w:val="0"/>
      <w:sz w:val="24"/>
    </w:rPr>
  </w:style>
  <w:style w:type="paragraph" w:styleId="7">
    <w:name w:val="Date"/>
    <w:basedOn w:val="1"/>
    <w:next w:val="1"/>
    <w:link w:val="24"/>
    <w:qFormat/>
    <w:uiPriority w:val="0"/>
    <w:pPr>
      <w:ind w:left="100" w:leftChars="2500"/>
    </w:pPr>
  </w:style>
  <w:style w:type="paragraph" w:styleId="8">
    <w:name w:val="footer"/>
    <w:basedOn w:val="1"/>
    <w:qFormat/>
    <w:uiPriority w:val="0"/>
    <w:pPr>
      <w:tabs>
        <w:tab w:val="center" w:pos="4153"/>
        <w:tab w:val="right" w:pos="8306"/>
      </w:tabs>
      <w:snapToGrid w:val="0"/>
      <w:jc w:val="left"/>
    </w:pPr>
    <w:rPr>
      <w:sz w:val="18"/>
    </w:rPr>
  </w:style>
  <w:style w:type="paragraph" w:styleId="9">
    <w:name w:val="Body Text First Indent 2"/>
    <w:basedOn w:val="6"/>
    <w:unhideWhenUsed/>
    <w:qFormat/>
    <w:uiPriority w:val="99"/>
    <w:pPr>
      <w:ind w:firstLine="42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pPr>
      <w:tabs>
        <w:tab w:val="right" w:leader="dot" w:pos="8494"/>
      </w:tabs>
      <w:ind w:firstLine="480" w:firstLineChars="150"/>
    </w:pPr>
    <w:rPr>
      <w:rFonts w:ascii="仿宋_GB2312" w:hAnsi="黑体" w:eastAsia="仿宋_GB2312" w:cs="黑体"/>
      <w:sz w:val="32"/>
      <w:szCs w:val="32"/>
    </w:rPr>
  </w:style>
  <w:style w:type="paragraph" w:styleId="12">
    <w:name w:val="toc 2"/>
    <w:basedOn w:val="1"/>
    <w:next w:val="1"/>
    <w:qFormat/>
    <w:uiPriority w:val="39"/>
    <w:pPr>
      <w:tabs>
        <w:tab w:val="right" w:leader="dot" w:pos="8494"/>
      </w:tabs>
      <w:spacing w:line="520" w:lineRule="exact"/>
      <w:ind w:left="420" w:leftChars="200" w:firstLine="640" w:firstLineChars="200"/>
      <w:outlineLvl w:val="1"/>
    </w:pPr>
  </w:style>
  <w:style w:type="character" w:styleId="14">
    <w:name w:val="Hyperlink"/>
    <w:basedOn w:val="13"/>
    <w:unhideWhenUsed/>
    <w:qFormat/>
    <w:uiPriority w:val="99"/>
    <w:rPr>
      <w:color w:val="0563C1" w:themeColor="hyperlink"/>
      <w:u w:val="single"/>
    </w:rPr>
  </w:style>
  <w:style w:type="character" w:styleId="15">
    <w:name w:val="annotation reference"/>
    <w:basedOn w:val="13"/>
    <w:qFormat/>
    <w:uiPriority w:val="0"/>
    <w:rPr>
      <w:sz w:val="21"/>
      <w:szCs w:val="21"/>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_Style 3"/>
    <w:basedOn w:val="1"/>
    <w:next w:val="19"/>
    <w:unhideWhenUsed/>
    <w:qFormat/>
    <w:uiPriority w:val="99"/>
    <w:pPr>
      <w:spacing w:line="360" w:lineRule="auto"/>
      <w:ind w:firstLine="420" w:firstLineChars="200"/>
      <w:jc w:val="left"/>
    </w:pPr>
    <w:rPr>
      <w:rFonts w:ascii="Times New Roman" w:hAnsi="Times New Roman" w:eastAsia="仿宋"/>
      <w:sz w:val="32"/>
      <w:lang w:eastAsia="zh-TW"/>
    </w:rPr>
  </w:style>
  <w:style w:type="paragraph" w:customStyle="1" w:styleId="19">
    <w:name w:val="List Paragraph"/>
    <w:basedOn w:val="1"/>
    <w:qFormat/>
    <w:uiPriority w:val="34"/>
    <w:pPr>
      <w:ind w:firstLine="420" w:firstLineChars="200"/>
    </w:pPr>
  </w:style>
  <w:style w:type="character" w:customStyle="1" w:styleId="20">
    <w:name w:val="标题 1 字符"/>
    <w:basedOn w:val="13"/>
    <w:link w:val="3"/>
    <w:qFormat/>
    <w:uiPriority w:val="0"/>
    <w:rPr>
      <w:b/>
      <w:bCs/>
      <w:kern w:val="44"/>
      <w:sz w:val="44"/>
      <w:szCs w:val="44"/>
    </w:rPr>
  </w:style>
  <w:style w:type="paragraph" w:customStyle="1" w:styleId="21">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22">
    <w:name w:val="批注文字 字符"/>
    <w:basedOn w:val="13"/>
    <w:link w:val="5"/>
    <w:qFormat/>
    <w:uiPriority w:val="0"/>
    <w:rPr>
      <w:kern w:val="2"/>
      <w:sz w:val="21"/>
      <w:szCs w:val="24"/>
    </w:rPr>
  </w:style>
  <w:style w:type="character" w:customStyle="1" w:styleId="23">
    <w:name w:val="批注主题 字符"/>
    <w:basedOn w:val="22"/>
    <w:link w:val="4"/>
    <w:qFormat/>
    <w:uiPriority w:val="0"/>
    <w:rPr>
      <w:b/>
      <w:bCs/>
      <w:kern w:val="2"/>
      <w:sz w:val="21"/>
      <w:szCs w:val="24"/>
    </w:rPr>
  </w:style>
  <w:style w:type="character" w:customStyle="1" w:styleId="24">
    <w:name w:val="日期 字符"/>
    <w:basedOn w:val="13"/>
    <w:link w:val="7"/>
    <w:qFormat/>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88BD01-C780-45FE-92F5-27AB2C9B12E1}">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32</Pages>
  <Words>2849</Words>
  <Characters>16240</Characters>
  <Lines>135</Lines>
  <Paragraphs>38</Paragraphs>
  <ScaleCrop>false</ScaleCrop>
  <LinksUpToDate>false</LinksUpToDate>
  <CharactersWithSpaces>19051</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2023-09-14T09:07:00Z</dcterms:created>
  <dc:creator>lenovo</dc:creator>
  <cp:lastModifiedBy>Administrator</cp:lastModifiedBy>
  <cp:lastPrinted>2025-08-14T01:58:00Z</cp:lastPrinted>
  <dcterms:modified xsi:type="dcterms:W3CDTF">2025-11-04T07:11:25Z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DFC741ED01F84B5BAAC804E705909F5C_12</vt:lpwstr>
  </property>
</Properties>
</file>